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9F9" w:rsidRDefault="006509F9" w:rsidP="006509F9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</w:rPr>
        <w:t>Wychowanie do życia w rodzinie należy postrzegać jako integralną część wychowania ogólnego. Nadrzędnym celem wprowadzenia tego przedmiotu jest takie oddziaływanie na uczniów, aby przemyślenia i wnioski płynące z zajęć pomogły im lepiej zrozumieć siebie i innych, a także rzutowały na podejmowanie właściwych decyzji obecnie i w przyszłości.</w:t>
      </w:r>
    </w:p>
    <w:p w:rsidR="006509F9" w:rsidRDefault="006509F9" w:rsidP="006509F9">
      <w:pPr>
        <w:pStyle w:val="NormalnyWeb"/>
        <w:spacing w:before="0" w:beforeAutospacing="0" w:after="0" w:afterAutospacing="0"/>
        <w:rPr>
          <w:rFonts w:ascii="Segoe UI" w:hAnsi="Segoe UI" w:cs="Segoe UI"/>
        </w:rPr>
      </w:pPr>
    </w:p>
    <w:p w:rsidR="006509F9" w:rsidRDefault="006509F9" w:rsidP="006509F9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  <w:u w:val="single"/>
        </w:rPr>
        <w:t>Cele kształcenia – wymagania ogólne.</w:t>
      </w:r>
    </w:p>
    <w:p w:rsidR="006509F9" w:rsidRDefault="006509F9" w:rsidP="006509F9">
      <w:pPr>
        <w:pStyle w:val="NormalnyWeb"/>
        <w:spacing w:before="0" w:beforeAutospacing="0" w:after="0" w:afterAutospacing="0"/>
        <w:rPr>
          <w:rFonts w:ascii="Segoe UI" w:hAnsi="Segoe UI" w:cs="Segoe UI"/>
        </w:rPr>
      </w:pPr>
    </w:p>
    <w:p w:rsidR="006509F9" w:rsidRDefault="006509F9" w:rsidP="006509F9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</w:rPr>
        <w:t>I.                   Pogłębianie wiedzy związanej z funkcjami rodziny, miłością, przyjaźnią, pełnieniem ról małżeńskich i rodzicielskich, seksualnością człowieka i prokreacją; umiejętność podejmowania odpowiedzialnych decyzji dotyczących wyboru drogi życiowej, małżeństwa i rodziny.</w:t>
      </w:r>
    </w:p>
    <w:p w:rsidR="006509F9" w:rsidRDefault="006509F9" w:rsidP="006509F9">
      <w:pPr>
        <w:pStyle w:val="NormalnyWeb"/>
        <w:spacing w:before="0" w:beforeAutospacing="0" w:after="0" w:afterAutospacing="0"/>
        <w:rPr>
          <w:rFonts w:ascii="Segoe UI" w:hAnsi="Segoe UI" w:cs="Segoe UI"/>
        </w:rPr>
      </w:pPr>
    </w:p>
    <w:p w:rsidR="006509F9" w:rsidRDefault="006509F9" w:rsidP="006509F9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</w:rPr>
        <w:t>II.                Rozwijanie umiejętności rozwiązywania problemów związanych z okresem dojrzewania, dorastania i wyborem drogi życiowej; umiejętność świadomego kreowania własnej osobowości.</w:t>
      </w:r>
    </w:p>
    <w:p w:rsidR="006509F9" w:rsidRDefault="006509F9" w:rsidP="006509F9">
      <w:pPr>
        <w:pStyle w:val="NormalnyWeb"/>
        <w:spacing w:before="0" w:beforeAutospacing="0" w:after="0" w:afterAutospacing="0"/>
        <w:rPr>
          <w:rFonts w:ascii="Segoe UI" w:hAnsi="Segoe UI" w:cs="Segoe UI"/>
        </w:rPr>
      </w:pPr>
    </w:p>
    <w:p w:rsidR="006509F9" w:rsidRDefault="006509F9" w:rsidP="006509F9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</w:rPr>
        <w:t>III.             Uzyskanie lepszego rozumienia siebie i najbliższego otoczenia; umiejętność poszukiwania i udzielania odpowiedzi na pytania o istotę człowieczeństwa, sens, cele i zadania życiowe.</w:t>
      </w:r>
    </w:p>
    <w:p w:rsidR="006509F9" w:rsidRDefault="006509F9" w:rsidP="006509F9">
      <w:pPr>
        <w:pStyle w:val="NormalnyWeb"/>
        <w:spacing w:before="0" w:beforeAutospacing="0" w:after="0" w:afterAutospacing="0"/>
        <w:rPr>
          <w:rFonts w:ascii="Segoe UI" w:hAnsi="Segoe UI" w:cs="Segoe UI"/>
        </w:rPr>
      </w:pPr>
    </w:p>
    <w:p w:rsidR="006509F9" w:rsidRDefault="006509F9" w:rsidP="006509F9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</w:rPr>
        <w:t>IV.             Przyjęcie pozytywnej postawy wobec życia ludzkiego, osób niepełnosprawnych i chorych; przygotowanie, na podstawie wiedzy i wykształconych umiejętności do poszanowania godności życia ludzkiego i dojrzałego funkcjonowania w rodzinie.</w:t>
      </w:r>
    </w:p>
    <w:p w:rsidR="006509F9" w:rsidRDefault="006509F9" w:rsidP="006509F9">
      <w:pPr>
        <w:pStyle w:val="NormalnyWeb"/>
        <w:spacing w:before="0" w:beforeAutospacing="0" w:after="0" w:afterAutospacing="0"/>
        <w:rPr>
          <w:rFonts w:ascii="Segoe UI" w:hAnsi="Segoe UI" w:cs="Segoe UI"/>
        </w:rPr>
      </w:pPr>
    </w:p>
    <w:p w:rsidR="006509F9" w:rsidRDefault="006509F9" w:rsidP="006509F9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</w:rPr>
        <w:t>V.               Znajomość podstawowych zasad postępowania w sferze ludzkiej płciowości i płodności; kształtowanie postaw prozdrowotnych, prospołecznych i prorodzinnych.</w:t>
      </w:r>
    </w:p>
    <w:p w:rsidR="006509F9" w:rsidRDefault="006509F9" w:rsidP="006509F9">
      <w:pPr>
        <w:pStyle w:val="NormalnyWeb"/>
        <w:spacing w:before="0" w:beforeAutospacing="0" w:after="0" w:afterAutospacing="0"/>
        <w:rPr>
          <w:rFonts w:ascii="Segoe UI" w:hAnsi="Segoe UI" w:cs="Segoe UI"/>
        </w:rPr>
      </w:pPr>
    </w:p>
    <w:p w:rsidR="006509F9" w:rsidRDefault="006509F9" w:rsidP="006509F9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</w:rPr>
        <w:t> </w:t>
      </w:r>
    </w:p>
    <w:p w:rsidR="006509F9" w:rsidRDefault="006509F9" w:rsidP="006509F9">
      <w:pPr>
        <w:pStyle w:val="NormalnyWeb"/>
        <w:spacing w:before="0" w:beforeAutospacing="0" w:after="0" w:afterAutospacing="0"/>
        <w:rPr>
          <w:rFonts w:ascii="Segoe UI" w:hAnsi="Segoe UI" w:cs="Segoe UI"/>
        </w:rPr>
      </w:pPr>
    </w:p>
    <w:p w:rsidR="006509F9" w:rsidRDefault="006509F9" w:rsidP="006509F9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  <w:u w:val="single"/>
        </w:rPr>
        <w:t>Program nauczania.</w:t>
      </w:r>
    </w:p>
    <w:p w:rsidR="006509F9" w:rsidRDefault="006509F9" w:rsidP="006509F9">
      <w:pPr>
        <w:pStyle w:val="NormalnyWeb"/>
        <w:spacing w:before="0" w:beforeAutospacing="0" w:after="0" w:afterAutospacing="0"/>
        <w:rPr>
          <w:rFonts w:ascii="Segoe UI" w:hAnsi="Segoe UI" w:cs="Segoe UI"/>
        </w:rPr>
      </w:pPr>
    </w:p>
    <w:p w:rsidR="006509F9" w:rsidRDefault="006509F9" w:rsidP="006509F9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</w:rPr>
        <w:t>Wędrując ku dorosłości – program nauczania wychowania do życia w rodzinie dla szkół ponadpodstawowych. Autor: Teresa Król.</w:t>
      </w:r>
    </w:p>
    <w:p w:rsidR="006509F9" w:rsidRDefault="006509F9" w:rsidP="006509F9">
      <w:pPr>
        <w:pStyle w:val="NormalnyWeb"/>
        <w:spacing w:before="0" w:beforeAutospacing="0" w:after="0" w:afterAutospacing="0"/>
        <w:rPr>
          <w:rFonts w:ascii="Segoe UI" w:hAnsi="Segoe UI" w:cs="Segoe UI"/>
        </w:rPr>
      </w:pPr>
    </w:p>
    <w:p w:rsidR="006509F9" w:rsidRDefault="006509F9" w:rsidP="006509F9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</w:rPr>
        <w:t> </w:t>
      </w:r>
    </w:p>
    <w:p w:rsidR="006509F9" w:rsidRDefault="006509F9" w:rsidP="006509F9">
      <w:pPr>
        <w:pStyle w:val="NormalnyWeb"/>
        <w:spacing w:before="0" w:beforeAutospacing="0" w:after="0" w:afterAutospacing="0"/>
        <w:rPr>
          <w:rFonts w:ascii="Segoe UI" w:hAnsi="Segoe UI" w:cs="Segoe UI"/>
        </w:rPr>
      </w:pPr>
    </w:p>
    <w:p w:rsidR="006509F9" w:rsidRDefault="006509F9" w:rsidP="006509F9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  <w:u w:val="single"/>
        </w:rPr>
        <w:t>Podręcznik, materiały i środki dydaktyczne.</w:t>
      </w:r>
    </w:p>
    <w:p w:rsidR="006509F9" w:rsidRDefault="006509F9" w:rsidP="006509F9">
      <w:pPr>
        <w:pStyle w:val="NormalnyWeb"/>
        <w:spacing w:before="0" w:beforeAutospacing="0" w:after="0" w:afterAutospacing="0"/>
        <w:rPr>
          <w:rFonts w:ascii="Segoe UI" w:hAnsi="Segoe UI" w:cs="Segoe UI"/>
        </w:rPr>
      </w:pPr>
    </w:p>
    <w:p w:rsidR="006509F9" w:rsidRDefault="006509F9" w:rsidP="006509F9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Wspomagająco (w dyspozycji nauczyciela) komplet podręcznik + ćwiczenia „Wędrując ku dorosłości” T. Król wydawnictwo Rubikon. Materiały internetowe selekcjonowane </w:t>
      </w:r>
      <w:r>
        <w:rPr>
          <w:rFonts w:ascii="Segoe UI" w:hAnsi="Segoe UI" w:cs="Segoe UI"/>
        </w:rPr>
        <w:lastRenderedPageBreak/>
        <w:t>przez nauczyciela, tablica interaktywna, komputer, projektor multimedialny, zeszyty i przybory do pisania.</w:t>
      </w:r>
    </w:p>
    <w:p w:rsidR="006509F9" w:rsidRDefault="006509F9" w:rsidP="006509F9">
      <w:pPr>
        <w:pStyle w:val="NormalnyWeb"/>
        <w:spacing w:before="0" w:beforeAutospacing="0" w:after="0" w:afterAutospacing="0"/>
        <w:rPr>
          <w:rFonts w:ascii="Segoe UI" w:hAnsi="Segoe UI" w:cs="Segoe UI"/>
        </w:rPr>
      </w:pPr>
    </w:p>
    <w:p w:rsidR="006509F9" w:rsidRDefault="006509F9" w:rsidP="006509F9">
      <w:pPr>
        <w:pStyle w:val="NormalnyWeb"/>
        <w:spacing w:before="0" w:beforeAutospacing="0" w:after="0" w:afterAutospacing="0"/>
        <w:rPr>
          <w:rFonts w:ascii="Segoe UI" w:hAnsi="Segoe UI" w:cs="Segoe UI"/>
        </w:rPr>
      </w:pPr>
    </w:p>
    <w:p w:rsidR="006509F9" w:rsidRDefault="006509F9" w:rsidP="006509F9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  <w:u w:val="single"/>
        </w:rPr>
        <w:t>Podstawowe zagadnienia przedmiotu WYCHOWANIE DO ŻYCIA W RODZINIE.</w:t>
      </w:r>
    </w:p>
    <w:p w:rsidR="006509F9" w:rsidRDefault="006509F9" w:rsidP="006509F9">
      <w:pPr>
        <w:pStyle w:val="NormalnyWeb"/>
        <w:spacing w:before="0" w:beforeAutospacing="0" w:after="0" w:afterAutospacing="0"/>
        <w:rPr>
          <w:rFonts w:ascii="Segoe UI" w:hAnsi="Segoe UI" w:cs="Segoe UI"/>
        </w:rPr>
      </w:pPr>
    </w:p>
    <w:p w:rsidR="006509F9" w:rsidRDefault="006509F9" w:rsidP="006509F9">
      <w:pPr>
        <w:pStyle w:val="NormalnyWeb"/>
        <w:spacing w:before="0" w:beforeAutospacing="0" w:after="0" w:afterAutospacing="0"/>
        <w:rPr>
          <w:rFonts w:ascii="Segoe UI" w:hAnsi="Segoe UI" w:cs="Segoe UI"/>
        </w:rPr>
      </w:pPr>
    </w:p>
    <w:p w:rsidR="006509F9" w:rsidRDefault="006509F9" w:rsidP="006509F9">
      <w:pPr>
        <w:pStyle w:val="NormalnyWeb"/>
        <w:spacing w:before="0" w:beforeAutospacing="0" w:after="0" w:afterAutospacing="0"/>
        <w:rPr>
          <w:rFonts w:ascii="Segoe UI" w:hAnsi="Segoe UI" w:cs="Segoe UI"/>
        </w:rPr>
      </w:pPr>
    </w:p>
    <w:p w:rsidR="006509F9" w:rsidRDefault="006509F9" w:rsidP="006509F9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>
        <w:rPr>
          <w:rStyle w:val="Pogrubienie"/>
          <w:rFonts w:ascii="Segoe UI" w:hAnsi="Segoe UI" w:cs="Segoe UI"/>
        </w:rPr>
        <w:t>Klasy III</w:t>
      </w:r>
    </w:p>
    <w:p w:rsidR="006509F9" w:rsidRDefault="006509F9" w:rsidP="006509F9">
      <w:pPr>
        <w:pStyle w:val="NormalnyWeb"/>
        <w:spacing w:before="0" w:beforeAutospacing="0" w:after="0" w:afterAutospacing="0"/>
        <w:rPr>
          <w:rFonts w:ascii="Segoe UI" w:hAnsi="Segoe UI" w:cs="Segoe UI"/>
        </w:rPr>
      </w:pPr>
    </w:p>
    <w:p w:rsidR="006509F9" w:rsidRDefault="006509F9" w:rsidP="006509F9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</w:rPr>
        <w:t>1. Dojrzałość do małżeństwa.</w:t>
      </w:r>
    </w:p>
    <w:p w:rsidR="006509F9" w:rsidRDefault="006509F9" w:rsidP="006509F9">
      <w:pPr>
        <w:pStyle w:val="NormalnyWeb"/>
        <w:spacing w:before="0" w:beforeAutospacing="0" w:after="0" w:afterAutospacing="0"/>
        <w:rPr>
          <w:rFonts w:ascii="Segoe UI" w:hAnsi="Segoe UI" w:cs="Segoe UI"/>
        </w:rPr>
      </w:pPr>
    </w:p>
    <w:p w:rsidR="006509F9" w:rsidRDefault="006509F9" w:rsidP="006509F9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</w:rPr>
        <w:t>2. Fundamenty dobrego małżeństwa.</w:t>
      </w:r>
    </w:p>
    <w:p w:rsidR="006509F9" w:rsidRDefault="006509F9" w:rsidP="006509F9">
      <w:pPr>
        <w:pStyle w:val="NormalnyWeb"/>
        <w:spacing w:before="0" w:beforeAutospacing="0" w:after="0" w:afterAutospacing="0"/>
        <w:rPr>
          <w:rFonts w:ascii="Segoe UI" w:hAnsi="Segoe UI" w:cs="Segoe UI"/>
        </w:rPr>
      </w:pPr>
    </w:p>
    <w:p w:rsidR="006509F9" w:rsidRDefault="006509F9" w:rsidP="006509F9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</w:rPr>
        <w:t>3. Typy struktury rodziny.</w:t>
      </w:r>
    </w:p>
    <w:p w:rsidR="006509F9" w:rsidRDefault="006509F9" w:rsidP="006509F9">
      <w:pPr>
        <w:pStyle w:val="NormalnyWeb"/>
        <w:spacing w:before="0" w:beforeAutospacing="0" w:after="0" w:afterAutospacing="0"/>
        <w:rPr>
          <w:rFonts w:ascii="Segoe UI" w:hAnsi="Segoe UI" w:cs="Segoe UI"/>
        </w:rPr>
      </w:pPr>
    </w:p>
    <w:p w:rsidR="006509F9" w:rsidRDefault="006509F9" w:rsidP="006509F9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</w:rPr>
        <w:t>4. Funkcje rodziny i ich znaczenie na poszczególnych etapach rozwoju.</w:t>
      </w:r>
    </w:p>
    <w:p w:rsidR="006509F9" w:rsidRDefault="006509F9" w:rsidP="006509F9">
      <w:pPr>
        <w:pStyle w:val="NormalnyWeb"/>
        <w:spacing w:before="0" w:beforeAutospacing="0" w:after="0" w:afterAutospacing="0"/>
        <w:rPr>
          <w:rFonts w:ascii="Segoe UI" w:hAnsi="Segoe UI" w:cs="Segoe UI"/>
        </w:rPr>
      </w:pPr>
    </w:p>
    <w:p w:rsidR="006509F9" w:rsidRDefault="006509F9" w:rsidP="006509F9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</w:rPr>
        <w:t>5. Wartości i tradycje ważne w rodzinie.</w:t>
      </w:r>
    </w:p>
    <w:p w:rsidR="006509F9" w:rsidRDefault="006509F9" w:rsidP="006509F9">
      <w:pPr>
        <w:pStyle w:val="NormalnyWeb"/>
        <w:spacing w:before="0" w:beforeAutospacing="0" w:after="0" w:afterAutospacing="0"/>
        <w:rPr>
          <w:rFonts w:ascii="Segoe UI" w:hAnsi="Segoe UI" w:cs="Segoe UI"/>
        </w:rPr>
      </w:pPr>
    </w:p>
    <w:p w:rsidR="006509F9" w:rsidRDefault="006509F9" w:rsidP="006509F9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</w:rPr>
        <w:t>6. Czynniki wzmacniające i osłabiające rodzinę.</w:t>
      </w:r>
    </w:p>
    <w:p w:rsidR="006509F9" w:rsidRDefault="006509F9" w:rsidP="006509F9">
      <w:pPr>
        <w:pStyle w:val="NormalnyWeb"/>
        <w:spacing w:before="0" w:beforeAutospacing="0" w:after="0" w:afterAutospacing="0"/>
        <w:rPr>
          <w:rFonts w:ascii="Segoe UI" w:hAnsi="Segoe UI" w:cs="Segoe UI"/>
        </w:rPr>
      </w:pPr>
    </w:p>
    <w:p w:rsidR="006509F9" w:rsidRDefault="006509F9" w:rsidP="006509F9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</w:rPr>
        <w:t>7. Konflikty i kryzysy w rodzinie.</w:t>
      </w:r>
    </w:p>
    <w:p w:rsidR="006509F9" w:rsidRDefault="006509F9" w:rsidP="006509F9">
      <w:pPr>
        <w:pStyle w:val="NormalnyWeb"/>
        <w:spacing w:before="0" w:beforeAutospacing="0" w:after="0" w:afterAutospacing="0"/>
        <w:rPr>
          <w:rFonts w:ascii="Segoe UI" w:hAnsi="Segoe UI" w:cs="Segoe UI"/>
        </w:rPr>
      </w:pPr>
    </w:p>
    <w:p w:rsidR="006509F9" w:rsidRDefault="006509F9" w:rsidP="006509F9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</w:rPr>
        <w:t>8. Prawodawstwo dotyczące rodziny.</w:t>
      </w:r>
    </w:p>
    <w:p w:rsidR="006509F9" w:rsidRDefault="006509F9" w:rsidP="006509F9">
      <w:pPr>
        <w:pStyle w:val="NormalnyWeb"/>
        <w:spacing w:before="0" w:beforeAutospacing="0" w:after="0" w:afterAutospacing="0"/>
        <w:rPr>
          <w:rFonts w:ascii="Segoe UI" w:hAnsi="Segoe UI" w:cs="Segoe UI"/>
        </w:rPr>
      </w:pPr>
    </w:p>
    <w:p w:rsidR="006509F9" w:rsidRDefault="006509F9" w:rsidP="006509F9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</w:rPr>
        <w:t>9. Instytucjonalna pomoc rodzinie.</w:t>
      </w:r>
    </w:p>
    <w:p w:rsidR="003F434C" w:rsidRPr="006509F9" w:rsidRDefault="003F434C" w:rsidP="006509F9"/>
    <w:sectPr w:rsidR="003F434C" w:rsidRPr="006509F9" w:rsidSect="00EB5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F434C"/>
    <w:rsid w:val="003F434C"/>
    <w:rsid w:val="006509F9"/>
    <w:rsid w:val="00B137AC"/>
    <w:rsid w:val="00CD7F5B"/>
    <w:rsid w:val="00EB5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5C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F4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434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650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509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2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2042</Characters>
  <Application>Microsoft Office Word</Application>
  <DocSecurity>0</DocSecurity>
  <Lines>17</Lines>
  <Paragraphs>4</Paragraphs>
  <ScaleCrop>false</ScaleCrop>
  <Company>Ministrerstwo Edukacji Narodowej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uczeń</dc:creator>
  <cp:lastModifiedBy>uczeń</cp:lastModifiedBy>
  <cp:revision>2</cp:revision>
  <cp:lastPrinted>2023-09-13T09:53:00Z</cp:lastPrinted>
  <dcterms:created xsi:type="dcterms:W3CDTF">2023-09-14T06:28:00Z</dcterms:created>
  <dcterms:modified xsi:type="dcterms:W3CDTF">2023-09-14T06:28:00Z</dcterms:modified>
</cp:coreProperties>
</file>