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6F" w:rsidRDefault="00EE126F" w:rsidP="00EE126F">
      <w:pPr>
        <w:pStyle w:val="lewytabela"/>
        <w:numPr>
          <w:ilvl w:val="0"/>
          <w:numId w:val="0"/>
        </w:numPr>
        <w:ind w:left="357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Wymagania edukacyjne na ocenę śródroczną i roczną na rok szkolny 202</w:t>
      </w:r>
      <w:r w:rsidR="00CB670A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>/202</w:t>
      </w:r>
      <w:r w:rsidR="00CB670A">
        <w:rPr>
          <w:rFonts w:ascii="Arial" w:eastAsia="Times New Roman" w:hAnsi="Arial" w:cs="Arial"/>
          <w:sz w:val="24"/>
          <w:szCs w:val="24"/>
        </w:rPr>
        <w:t>4</w:t>
      </w:r>
    </w:p>
    <w:p w:rsidR="000C36CA" w:rsidRDefault="0098388C" w:rsidP="00AF20CD">
      <w:pPr>
        <w:pStyle w:val="lewytabela"/>
        <w:numPr>
          <w:ilvl w:val="0"/>
          <w:numId w:val="0"/>
        </w:numPr>
        <w:ind w:left="357"/>
        <w:jc w:val="center"/>
        <w:rPr>
          <w:rFonts w:ascii="Arial" w:hAnsi="Arial" w:cs="Arial"/>
          <w:b/>
          <w:sz w:val="24"/>
          <w:szCs w:val="24"/>
        </w:rPr>
      </w:pPr>
      <w:r w:rsidRPr="000C36CA">
        <w:rPr>
          <w:rFonts w:ascii="Arial" w:eastAsia="Times New Roman" w:hAnsi="Arial" w:cs="Arial"/>
          <w:sz w:val="24"/>
          <w:szCs w:val="24"/>
        </w:rPr>
        <w:br/>
      </w:r>
    </w:p>
    <w:tbl>
      <w:tblPr>
        <w:tblStyle w:val="Tabela-Siatka"/>
        <w:tblW w:w="0" w:type="auto"/>
        <w:tblInd w:w="988" w:type="dxa"/>
        <w:tblLayout w:type="fixed"/>
        <w:tblLook w:val="04A0"/>
      </w:tblPr>
      <w:tblGrid>
        <w:gridCol w:w="6084"/>
        <w:gridCol w:w="6126"/>
      </w:tblGrid>
      <w:tr w:rsidR="000C36CA" w:rsidTr="000C36CA">
        <w:tc>
          <w:tcPr>
            <w:tcW w:w="6084" w:type="dxa"/>
          </w:tcPr>
          <w:p w:rsidR="000C36CA" w:rsidRPr="000C36CA" w:rsidRDefault="000C36CA" w:rsidP="000F131D">
            <w:pPr>
              <w:jc w:val="center"/>
              <w:rPr>
                <w:rFonts w:ascii="Arial" w:hAnsi="Arial" w:cs="Arial"/>
              </w:rPr>
            </w:pPr>
            <w:bookmarkStart w:id="0" w:name="_GoBack" w:colFirst="1" w:colLast="1"/>
            <w:r w:rsidRPr="000C36CA">
              <w:rPr>
                <w:rFonts w:ascii="Arial" w:hAnsi="Arial" w:cs="Arial"/>
              </w:rPr>
              <w:t>Przedmiot</w:t>
            </w:r>
          </w:p>
        </w:tc>
        <w:tc>
          <w:tcPr>
            <w:tcW w:w="6126" w:type="dxa"/>
          </w:tcPr>
          <w:p w:rsidR="000C36CA" w:rsidRPr="000C36CA" w:rsidRDefault="00B1046D" w:rsidP="000F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Systemy transmisji danych</w:t>
            </w:r>
          </w:p>
        </w:tc>
      </w:tr>
      <w:bookmarkEnd w:id="0"/>
      <w:tr w:rsidR="000C36CA" w:rsidTr="00742F9F">
        <w:trPr>
          <w:trHeight w:val="50"/>
        </w:trPr>
        <w:tc>
          <w:tcPr>
            <w:tcW w:w="6084" w:type="dxa"/>
          </w:tcPr>
          <w:p w:rsidR="000C36CA" w:rsidRPr="000C36CA" w:rsidRDefault="000C36CA" w:rsidP="000F131D">
            <w:pPr>
              <w:jc w:val="center"/>
              <w:rPr>
                <w:rFonts w:ascii="Arial" w:hAnsi="Arial" w:cs="Arial"/>
              </w:rPr>
            </w:pPr>
            <w:r w:rsidRPr="000C36CA">
              <w:rPr>
                <w:rFonts w:ascii="Arial" w:hAnsi="Arial" w:cs="Arial"/>
              </w:rPr>
              <w:t>Klasa</w:t>
            </w:r>
          </w:p>
        </w:tc>
        <w:tc>
          <w:tcPr>
            <w:tcW w:w="6126" w:type="dxa"/>
          </w:tcPr>
          <w:p w:rsidR="000C36CA" w:rsidRPr="000C36CA" w:rsidRDefault="00D57D45" w:rsidP="00D57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</w:t>
            </w:r>
          </w:p>
        </w:tc>
      </w:tr>
      <w:tr w:rsidR="000C36CA" w:rsidTr="000C36CA">
        <w:tc>
          <w:tcPr>
            <w:tcW w:w="6084" w:type="dxa"/>
          </w:tcPr>
          <w:p w:rsidR="000C36CA" w:rsidRPr="000C36CA" w:rsidRDefault="000C36CA" w:rsidP="000F131D">
            <w:pPr>
              <w:jc w:val="center"/>
              <w:rPr>
                <w:rFonts w:ascii="Arial" w:hAnsi="Arial" w:cs="Arial"/>
              </w:rPr>
            </w:pPr>
            <w:r w:rsidRPr="000C36CA">
              <w:rPr>
                <w:rFonts w:ascii="Arial" w:hAnsi="Arial" w:cs="Arial"/>
              </w:rPr>
              <w:t>Nauczyciel Uczący</w:t>
            </w:r>
          </w:p>
        </w:tc>
        <w:tc>
          <w:tcPr>
            <w:tcW w:w="6126" w:type="dxa"/>
          </w:tcPr>
          <w:p w:rsidR="000C36CA" w:rsidRPr="000C36CA" w:rsidRDefault="004D5CF7" w:rsidP="000F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 Gołaszewski</w:t>
            </w:r>
          </w:p>
        </w:tc>
      </w:tr>
    </w:tbl>
    <w:p w:rsidR="000C36CA" w:rsidRDefault="000C36CA" w:rsidP="000F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36CA" w:rsidRDefault="000C36CA" w:rsidP="000F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6E4B" w:rsidRDefault="00816E4B" w:rsidP="00816E4B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</w:p>
    <w:p w:rsidR="00816E4B" w:rsidRPr="002122BE" w:rsidRDefault="00816E4B" w:rsidP="002122BE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122BE">
        <w:rPr>
          <w:rFonts w:ascii="Arial" w:hAnsi="Arial" w:cs="Arial"/>
        </w:rPr>
        <w:t>Nauczyciel dostosowuje wymagania w zakresie wiedzy i umiejętności z danego przedmiotu w stosunku do uczniów, u których stwierdzono deficyty rozwojowe uniemożliwiające sprostanie wymaganiom edukacyjnym, potwierdzone odpowiednim dokumentem z poradni psychologiczno – pedagogicznej.</w:t>
      </w:r>
    </w:p>
    <w:p w:rsidR="00816E4B" w:rsidRPr="002122BE" w:rsidRDefault="00816E4B" w:rsidP="002122BE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2122BE">
        <w:rPr>
          <w:rFonts w:ascii="Arial" w:hAnsi="Arial" w:cs="Arial"/>
        </w:rPr>
        <w:t>Możliwe sposoby sprawdzania wiedzy i umiejętności</w:t>
      </w:r>
      <w:r w:rsidR="002122BE">
        <w:rPr>
          <w:rFonts w:ascii="Arial" w:hAnsi="Arial" w:cs="Arial"/>
        </w:rPr>
        <w:t>:</w:t>
      </w:r>
    </w:p>
    <w:p w:rsidR="002122BE" w:rsidRDefault="002122BE" w:rsidP="002122BE">
      <w:pPr>
        <w:pStyle w:val="Akapitzlist"/>
        <w:rPr>
          <w:rFonts w:ascii="Arial" w:hAnsi="Arial" w:cs="Arial"/>
        </w:rPr>
      </w:pP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odpowiedź ustna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jakość pracy na lekcji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aktywność na lekcji/ bieżąca praca na lekcji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współpraca w grupie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ćwiczenia projektowe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krótki pisemny sprawdzian z bieżących wiadomości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sprawdzian podsumowujący dział</w:t>
      </w:r>
    </w:p>
    <w:p w:rsidR="00816E4B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osiągnięcia w konkursach i olimpiadach</w:t>
      </w:r>
    </w:p>
    <w:p w:rsidR="00816E4B" w:rsidRDefault="00816E4B">
      <w:r>
        <w:br w:type="page"/>
      </w:r>
    </w:p>
    <w:tbl>
      <w:tblPr>
        <w:tblStyle w:val="Tabela-Siatka"/>
        <w:tblW w:w="5000" w:type="pct"/>
        <w:jc w:val="center"/>
        <w:tblLook w:val="04A0"/>
      </w:tblPr>
      <w:tblGrid>
        <w:gridCol w:w="3026"/>
        <w:gridCol w:w="3025"/>
        <w:gridCol w:w="3025"/>
        <w:gridCol w:w="3025"/>
        <w:gridCol w:w="3025"/>
      </w:tblGrid>
      <w:tr w:rsidR="00816E4B" w:rsidTr="004577E5">
        <w:trPr>
          <w:jc w:val="center"/>
        </w:trPr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lastRenderedPageBreak/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CELUJĄCY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BARDZO DOBRY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DOBRY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DOSTATECZNY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>OCENA DOPUSZCZAJĄCY</w:t>
            </w:r>
          </w:p>
        </w:tc>
      </w:tr>
      <w:tr w:rsidR="00816E4B" w:rsidTr="004577E5">
        <w:trPr>
          <w:jc w:val="center"/>
        </w:trPr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w pełnym zakresie opanował wiadomości i umiejętności programowe,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rozwiązuje samodzielnie zadania o dużym stopniu trudności,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stosuje wiadomości w sytuacjach nietypowych,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osiąga sukcesy w konkursach i olimpiadach przedmiotowych,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w pełnym zakresie opanował wiadomości i umiejętności programowe,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zdobytą wiedzę potrafi zastosować w nowych sytuacjach,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</w:t>
            </w:r>
            <w:r>
              <w:rPr>
                <w:rFonts w:ascii="Arial" w:hAnsi="Arial" w:cs="Arial"/>
                <w:sz w:val="20"/>
                <w:szCs w:val="20"/>
              </w:rPr>
              <w:t xml:space="preserve"> samodzielnie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korzysta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z różnych źródeł wiedzy,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przeprowadzić analizę matematyczną zagadnień technicznych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rozwiązuje samodzielnie zadania rachunkowe i problemowe o dużym stopniu trudności,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potrafi kierować pracą w grupie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stosuje narzędzia naukowe w rozwiązywaniu problemów</w:t>
            </w: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w dużym zakresie opanował wiadomości i umiejętności programowe,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 poprawnie stosuje wiadomości do rozwiązywania zadań typowych lub problemów,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posługiwać się instrukcjami technicznymi rozwiązań poznanymi w obrębie przedmiotu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 xml:space="preserve">- stosuje rozwiązania techniczne poznane 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w obrębie przedmiotu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-potrafi przeprowadzić analizę działania rozwiązania technicznego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dobiera rozwiązania techniczne w konkretnych warunkach pracy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przewiduje problemy w realizacji rozwiązania technicznego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sporządza dokumentacje techniczną</w:t>
            </w: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opanował w podstawowym zakresie wiadomości i umiejętności określone w programie,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rozumie podstawowe prawa i zjawiska wykorzystywane w rozwiązaniach technicznych poznanych w obrębie przedmiotu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z ilustrować zagadnienie na rysunku, wykresie, schemacie,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rozwiązuje samodzielnie proste zadania i problemy techniczne,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zastosować metodologię pomiarową stosowaną w transmisji danych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przedstawia wyniki pomiarowe rozwiązania technicznego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- zna zasady analizy</w:t>
            </w:r>
            <w:r>
              <w:rPr>
                <w:rFonts w:ascii="Arial" w:hAnsi="Arial" w:cs="Arial"/>
                <w:sz w:val="20"/>
                <w:szCs w:val="20"/>
              </w:rPr>
              <w:t xml:space="preserve"> matematycznej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rozwiązania technicznego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rozpoznaje schematy blokowe i ideowe rozwiązań technicznych 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planuje działania w celu rozwiązania problemów technicznych</w:t>
            </w: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posiada wiadomości i umiejętności niezbędne do dalszego kontynuowania nauki i przydatne w życiu codziennym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ma braki w wiadomościach i umiejętnościach określonych programem, ale te braki nie przekreślają możliwości dalszego kształcenia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 xml:space="preserve">- dokonuje klasyfikacji rozwiązań technicznych poznanych w ramach przedmiotu 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- rozróżnia rozwiązania techniczne poznane w ramach przedmiotów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- zna terminologię stosowaną w zagadnieniach technicznych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 xml:space="preserve">- zna zasadę działania rozwiązań technicznych </w:t>
            </w:r>
            <w:r>
              <w:rPr>
                <w:rFonts w:ascii="Arial" w:hAnsi="Arial" w:cs="Arial"/>
                <w:sz w:val="20"/>
                <w:szCs w:val="20"/>
              </w:rPr>
              <w:t>poznanych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w ramach przedmiotów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rozumie i stosuje instrukcje techniczne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zna i stosuje zasady pracy w warunkach produkcyjnych podczas wykorzystywania rozwiązań technicznych</w:t>
            </w:r>
          </w:p>
        </w:tc>
      </w:tr>
    </w:tbl>
    <w:p w:rsidR="00816E4B" w:rsidRPr="000C36CA" w:rsidRDefault="00816E4B" w:rsidP="00665B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Efekty kształcenia</w:t>
      </w:r>
      <w:r w:rsidR="00FE4EDB">
        <w:rPr>
          <w:rFonts w:ascii="Arial" w:hAnsi="Arial" w:cs="Arial"/>
          <w:sz w:val="24"/>
          <w:szCs w:val="24"/>
          <w:u w:val="single"/>
        </w:rPr>
        <w:t>:</w:t>
      </w:r>
    </w:p>
    <w:p w:rsidR="000F131D" w:rsidRPr="00223E30" w:rsidRDefault="000F131D" w:rsidP="00665B62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B1046D" w:rsidRPr="00B1046D" w:rsidRDefault="00B1046D" w:rsidP="00BD7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046D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1403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3320"/>
        <w:gridCol w:w="1739"/>
        <w:gridCol w:w="3282"/>
        <w:gridCol w:w="3637"/>
      </w:tblGrid>
      <w:tr w:rsidR="00AE7887" w:rsidRPr="00FD13F9" w:rsidTr="00266D7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</w:tr>
      <w:tr w:rsidR="00AE7887" w:rsidRPr="00FD13F9" w:rsidTr="00266D72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1069"/>
        </w:trPr>
        <w:tc>
          <w:tcPr>
            <w:tcW w:w="1848" w:type="dxa"/>
            <w:vMerge w:val="restar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 Definicje i pojęcia podstawowe</w:t>
            </w:r>
            <w:r w:rsidRPr="002078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4EE4">
              <w:rPr>
                <w:rFonts w:ascii="Arial" w:hAnsi="Arial" w:cs="Arial"/>
                <w:sz w:val="20"/>
                <w:szCs w:val="20"/>
                <w:lang w:eastAsia="en-US"/>
              </w:rPr>
              <w:t>1. Definicje podstawowe.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zdefiniować pojęcia telekomunikacji i teleinformatyki,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 dokonać podziału telekomunikacji według kryterium świadczonych usług i według kryterium czynności wykonywanych podczas przesyłania wiadomości (kryterium techniczne),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zdefiniować pojęcia toru, traktu i systemu telekomunikacyjnego,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zdefiniować pojęcia kanału i łącza telekomunikacyjnego,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rodzaje torów telekomunikacyjnych,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rodzaje systemów telekomunikacyjnych,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różnice pomiędzy pojęciami kanału i łącza telekomunikacyjnego,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268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Pojęcia podstawowe.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pojęcie pasma telefonicznego,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zakres pasma telefonicznego,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przeznaczenie podstawowych systemów telekomunikacyjnych,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dokonać podziału sieci teleinformatycznych,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kształt charakterystyki widmowej sygnału akustycznego i sygnału telefonicznego,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pojęcie środka mocy widma kanału telefonicznego,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wyjaśnić związek pomiędzy siecią telekomunikacyjną a siecią teleinformatyczną, 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E22BDF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II. Media transmisyjne</w:t>
            </w:r>
            <w:r w:rsidRPr="002078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4EE4">
              <w:rPr>
                <w:rFonts w:ascii="Arial" w:hAnsi="Arial" w:cs="Arial"/>
                <w:sz w:val="20"/>
                <w:szCs w:val="20"/>
                <w:lang w:eastAsia="en-US"/>
              </w:rPr>
              <w:t>1. Podział mediów transmisyjnych i ich zas</w:t>
            </w: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tosowanie w telekomunikacji i teleinformatyce.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rodzaje mediów transmisyjnych,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rodzaje mediów transmisyjnych,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zastosowania poszczególnych mediów w telekomunikacji i teleinformatyce,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celowość stosowania różnych mediów w relacji do konkretnego systemu transmisyjnego,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podać przykłady zastosowania konkretnych rodzajów mediów transmisyjnych w rzeczywistych systemach telekomunikacyjnych i teleinformatycznych, 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Media przewodowe miedziane.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budowę kabla telekomunikacyjnego sieci dostępowej,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sposób oznaczania kabla sieci dostępowej,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zasady identyfikacji żył w kablu i sposób montażu,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kable sieci lokalnej (skrętka i kabel współosiowy),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podstawowe parametry techniczne kabli miedzianych,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scharakteryzować parametry elektryczne i transmisyjne kabli miedzianych, 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zasady pomiarów podstawowych parametrów elektrycznych i transmisyjnych kabli miedzianych,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3. Media światłowodowe.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budowę włókna światłowodowego,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zasadę transmisji w torze światłowodowym,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budowę kabla światłowodowego,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podstawowe parametry transmisyjne toru światłowodowego,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wykres spektralny dla transmisji optycznej,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okna transmisyjne i ich zastosowanie,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typowe wartości parametrów transmisyjnych toru światłowodowego,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4. Media bezprzewodowe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zdefiniować pojęcie fali elektromagnetycznej,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spektrum promieniowania EM,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rozróżnić rodzaje fal radiowych i zasady ich propagacji,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wzór Friisa w jednostkach skalarnych,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przekształcić wzór Friisa dla jednostek dB,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przykładowe obliczenia tłumienności w wolnej przestrzeni,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III. Czwórniki i filtry.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20785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Elementy algebry czwórników.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D14EE4">
              <w:rPr>
                <w:rFonts w:ascii="Arial" w:hAnsi="Arial" w:cs="Arial"/>
                <w:lang w:eastAsia="en-US"/>
              </w:rPr>
              <w:t>zdefiniować pojęcia parametrów falowych,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zdefiniować pojęcia parametrów roboczych czwórnika,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funkcjonowanie czwórników w łańcuchu transmisyjnym,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obliczyć impedancję falową i tłumienność falową prostych czwórników,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obliczyć tłumienność skuteczną i tłumienność niedopasowania prostych czwórników,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rozliczyć tłumienność przejścia dla łańcucha czwórników,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Jednostki w transmisji.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zdefiniować pojęcie generatora normalnego,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 xml:space="preserve">podać wartości jednostek odniesienia w skali </w:t>
            </w:r>
            <w:r w:rsidRPr="00FD13F9">
              <w:rPr>
                <w:rFonts w:ascii="Arial" w:hAnsi="Arial" w:cs="Arial"/>
                <w:lang w:eastAsia="en-US"/>
              </w:rPr>
              <w:lastRenderedPageBreak/>
              <w:t>logarytmicznej,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 xml:space="preserve">zdefiniować pojęcia jednostek bezwzględnych, względnych, tłumienia i odstępów, 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udowodnić wielkości wartości określonych poprzez generator normalny,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obliczać wartości mocy, napięcia i </w:t>
            </w:r>
            <w:r w:rsidRPr="00FD13F9">
              <w:rPr>
                <w:rFonts w:ascii="Arial" w:hAnsi="Arial" w:cs="Arial"/>
              </w:rPr>
              <w:lastRenderedPageBreak/>
              <w:t>prądu wykorzystując wzory na jednostki bezwzględne, względne, tłumienia i odstępów,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3. Filtry częstotliwościowe.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przeznaczenie filtrów częstotliwościowych,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dokonać podziału filtrów według sposobu ich realizacji,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dokonać podziału filtrów według kryterium pasma przenoszenia,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parametry transmisyjne filtru poprzez analizę wykresu standardowej charakterystyki częstotliwościowej,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zasadę działania filtrów reaktancyjnych i czynnych,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obliczenia tłumienności prostego filtru reaktancyjnego,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zasadę działania filtrów aktywnych na WO i dokonać podstawowych obliczeń,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ogólnie filtry cyfrowe i dokonać ich klasyfikacji,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IV. Linia długa.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20785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Teoria linii długiej.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D14EE4">
              <w:rPr>
                <w:rFonts w:ascii="Arial" w:hAnsi="Arial" w:cs="Arial"/>
                <w:lang w:eastAsia="en-US"/>
              </w:rPr>
              <w:t>podać definicję linii długiej,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określić warunek istnienia linii długiej,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narysować schemat zastępczy toru metalowego jako czwórnik o stałych skupionych,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wymienić parametry jednostkowe toru metalowego reprezentowanego przez linię długą,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pojęcie układu o stałych rozłożonych,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linię długą jako układ o stałych rozłożonych,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sens „równań telegrafistów”,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od czego zależą parametry jednostkowe linii długiej,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Parametry falowe linii długiej.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wzory na impedancję falową i tamowność falową w funkcji parametrów jednostkowych,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naszkicować kształt charakterystyki modułu impedancji falowej w funkcji częstotliwości,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naszkicować kształt charakterystyki tłumienności falowej w funkcji częstotliwości,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charakterystyki linii długiej (moduł impedancji, tłumienność, przesuwność),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obliczyć moduł impedancji linii długiej w funkcji </w:t>
            </w:r>
            <w:r w:rsidRPr="00FD13F9">
              <w:rPr>
                <w:rFonts w:ascii="Arial" w:hAnsi="Arial" w:cs="Arial"/>
                <w:lang w:eastAsia="en-US"/>
              </w:rPr>
              <w:t>częstotliwości,</w:t>
            </w:r>
            <w:r w:rsidRPr="00FD13F9">
              <w:rPr>
                <w:rFonts w:ascii="Arial" w:hAnsi="Arial" w:cs="Arial"/>
              </w:rPr>
              <w:t xml:space="preserve"> dla zadanych parametrów jednostkowych,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linię bezstratną,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odpowiedzi linii długiej na typowe sygnały pobudzające,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zjawisko dyspersji w rzeczywistym torze zniekształcającym,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V. Elementy teorii sygnałów.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20785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Klasyfikacja sygnałów i ich reprezentacja.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D14EE4">
              <w:rPr>
                <w:rFonts w:ascii="Arial" w:hAnsi="Arial" w:cs="Arial"/>
                <w:lang w:eastAsia="en-US"/>
              </w:rPr>
              <w:t>zdefin</w:t>
            </w:r>
            <w:r w:rsidRPr="00FD13F9">
              <w:rPr>
                <w:rFonts w:ascii="Arial" w:hAnsi="Arial" w:cs="Arial"/>
                <w:lang w:eastAsia="en-US"/>
              </w:rPr>
              <w:t>iować pojęcie sygnału,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 xml:space="preserve">podać klasyfikację sygnałów według kryteriów osi czasu i osi </w:t>
            </w:r>
            <w:r w:rsidRPr="00FD13F9">
              <w:rPr>
                <w:rFonts w:ascii="Arial" w:hAnsi="Arial" w:cs="Arial"/>
                <w:lang w:eastAsia="en-US"/>
              </w:rPr>
              <w:lastRenderedPageBreak/>
              <w:t>amplitud,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klasyfikację sygnałów według kryteriów probabilistycznych,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zdefiniować podstawowe parametry sygnałów deterministycznych (wartość średnia, moc, energia, wartość skuteczna),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</w:rPr>
              <w:t>obliczyć podstawowe parametry sygnałów deterministycznych metodą geometryczną,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 xml:space="preserve">scharakteryzować zasadę reprezentacji naturalnej sygnału deterministycznego (reprezentacja </w:t>
            </w:r>
            <w:r w:rsidRPr="00FD13F9">
              <w:rPr>
                <w:rFonts w:ascii="Arial" w:hAnsi="Arial" w:cs="Arial"/>
              </w:rPr>
              <w:lastRenderedPageBreak/>
              <w:t>czasowa),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reprezentację widmową sygnału deterministycznego (w funkcji częstotliwości),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sposób wykorzystania pojęć szereg i transformata Fouriera w analizie widmowej sygnałów deterministycznych,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obliczyć podstawowe parametry sygnałów deterministycznych z użyciem rachunku całkowego (harmoniczny, trójkąt, prostokąt),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Rodzaje sygnałów i ich podstawowe przetwarzanie.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typowe sygnały deterministyczne okresowe i podać ich podstawowe parametry,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podstawowy proces przetwarzania A/C (fazy próbkowania, kwantyzacji i kodowania),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treść twierdzenia o próbkowaniu KNSW,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cel i sens procedur stosowanych przy konwersji sygnału z postaci analogowej na cyfrową i odwrotnie,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podstawowe sygnały deterministyczne nieokresowe (skok jednostkowy 1(t) i sgn(T), delta Diraca, dystrybucja grzebieniowa),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prosty dowód na prawdziwość twierdzenia o próbkowaniu (kopie widma podstawowego),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pojęcie błędu kwantyzacji i związanego z nim szumu kwantyzacji,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metody minimalizacji mocy szumu kwantyzacji (kompresja wg charakterystyki 13 segmentowej i kompresja cyfrowa),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VI. Przetworniki sygnałów.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20785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Podstawy przetwarzania A/C i C/A.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D14EE4">
              <w:rPr>
                <w:rFonts w:ascii="Arial" w:hAnsi="Arial" w:cs="Arial"/>
                <w:lang w:eastAsia="en-US"/>
              </w:rPr>
              <w:t>rozróżnić metody przetwarzania A/C,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ideę przetwarzania A/C,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definicje podstawowych parametrów stosowanych do opisu przetwarzania (rozdzielczość, rozróżnialność, niejednoznaczność, liniowość),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ideę przetwarzania C/A,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obliczać wartości parametrów przetwarzania na podstawie wzorów i danych wyjściowych,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rodzaje błędów procesu przetwarzania A/C,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przykłady zastosowań przetworników w systemach transmisyjnych,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Przetworniki A/C.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 xml:space="preserve">narysować schemat funkcjonalny przetwornika napięcie-czas i opisać zasadę </w:t>
            </w:r>
            <w:r w:rsidRPr="00FD13F9">
              <w:rPr>
                <w:rFonts w:ascii="Arial" w:hAnsi="Arial" w:cs="Arial"/>
                <w:lang w:eastAsia="en-US"/>
              </w:rPr>
              <w:lastRenderedPageBreak/>
              <w:t>jego działania,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zasadę działania przetwornika z pojedynczym całkowaniem (U-f),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zasadę działania przetwornika krokowego i natychmiastowego (flash),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obliczyć stałą przetwarzania dla przetwornika z pojedynczym całkowaniem,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wyjaśnić zasadę działania przetwornika z podwójnym całkowaniem i porównać z przetwornikiem z pojedynczym całkowaniem,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zanalizować proces przetwarzania w przetworniku z kompensacją szeregową (krokowy) dla przykładowych danych,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zanalizować działanie przetwornika z kompensacją równoległą (flash),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3. Przetworniki C/A.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narysować schemat ideowy przetwornika z prądowymi źródłami wagowymi,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zasadę działania przetwornika wagowego,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narysować schemat ideowy przetwornika w układzie drabinkowym,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zasadę działania przetwornika drabinkowego,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podstawowe obliczenia dla przykładowych danych, obrazujące działanie przetwornika wagowego,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podstawowe obliczenia dla przykładowych danych, obrazujące działanie przetwornika drabinkowego,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udowodnić prawdziwość wzorów wiążących wartość napięcia wyjściowego w funkcji stałej przetwarzania i wartości bitów,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VII. Systemy modulacji.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20785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Podstawy modulacji.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D14EE4">
              <w:rPr>
                <w:rFonts w:ascii="Arial" w:hAnsi="Arial" w:cs="Arial"/>
                <w:lang w:eastAsia="en-US"/>
              </w:rPr>
              <w:t>narysować schemat łańcucha informacyjnego,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zdefiniować pojęcie modulacji,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celowość stosowania  techniki modulacji w systemach transmisyjnych,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dokonać ogólnego podziału systemów modulacyjnych w zależności od rodzajów sygnałów,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istotę modulacji na przykładzie modulacji AM,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zasadnicze funkcje elementów składowych łańcucha informacyjnego,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wyszczególnić rodzaje modulacji analogowych,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obliczyć produkty modulacji AM w różnych wariantach,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obliczyć współczynnik głębokości modulacji AM,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wyspecyfikować rodzaje modulacji impulsowych i cyfrowych,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modulację PAM,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Modulacje impulsowe.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wymienić fazy modulacji PCM,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istotę modulacji Delta,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fazy modulacji PCM,</w:t>
            </w:r>
          </w:p>
          <w:p w:rsidR="00AE7887" w:rsidRPr="00FD13F9" w:rsidRDefault="00AE7887" w:rsidP="00AE788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przeanalizować modulację Delta pod kątem wielkości częstotliwości próbkowania i skoku aproksymacji,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opisać istotę modulacji </w:t>
            </w:r>
            <w:r w:rsidRPr="00FD13F9">
              <w:rPr>
                <w:rFonts w:ascii="Arial" w:hAnsi="Arial" w:cs="Arial"/>
              </w:rPr>
              <w:lastRenderedPageBreak/>
              <w:t>adaptacyjnych,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3. Modulacje cyfrowe.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wymienić podstawowe modulacje cyfrowe,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 xml:space="preserve">opisać istotę cyfrowego systemu modulacji, 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proste modulacje cyfrowe: ASK, FSK i PSK (QPSK, DQPSK),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zasadę modulacji QAM,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zasadę modulacji DMT,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określić celowość stosowania technik rozpraszania widma,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przebiegi sygnałów dla prostych modulacji cyfrowych,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zasadę konstruowania konstelacji modulacji cyfrowej na przykładzie QAM,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modulację DMT,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techniki rozpraszania widma DSSS, FHSS i THSS,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określić zastosowania modulacji cyfrowych w systemach teleinformatycznych, 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VIII. Kodowanie transmisyjne i zabezpieczające transmisję.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20785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Kodowanie transmisyjne.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D14EE4">
              <w:rPr>
                <w:rFonts w:ascii="Arial" w:hAnsi="Arial" w:cs="Arial"/>
                <w:lang w:eastAsia="en-US"/>
              </w:rPr>
              <w:t>podać podstawową przyczynę stosowania kodowania transmisyjnego,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pożądane cechy sygnału zakodowanego przy użyciu kodu transmisyjnego,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zasady kodowania: AMI, HDB-3, CMI, Manchester, 2B-1Q,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</w:rPr>
              <w:t>wskazać zastosowanie kodów transmisyjnych w systemach transmisyjnych,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przebiegi sygnałów zakodowanych według reguł kodowania:</w:t>
            </w:r>
            <w:r w:rsidRPr="00FD13F9">
              <w:rPr>
                <w:rFonts w:ascii="Arial" w:hAnsi="Arial" w:cs="Arial"/>
                <w:lang w:eastAsia="en-US"/>
              </w:rPr>
              <w:t xml:space="preserve"> AMI, HDB-3, CMI, Manchester, 2B-1Q,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zasadę kodowania CAP-n,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zasadę i cel stosowania skramblowania sygnału,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  <w:lang w:eastAsia="en-US"/>
              </w:rPr>
              <w:t>naszkicować charakterystyki widma znormalizowanego dla omawianych kodów,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Kodowanie zabezpieczające transmisję.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definicję bitu jako ilości informacji (wg Shannona),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rodzaje systemów zabezpieczenia transmisji i cel ich stosowania,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wymienić podstawowe pojęcia stosowane w kodowaniu nadmiarowym,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</w:rPr>
              <w:t>wskazać zastosowanie kodów nadmiarowych w systemach teleinformatycznych,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(skategoryzować) kody zabezpieczające transmisję,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pokazać algorytm kodowania CRC-n,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mechanizm kodowania splotowego,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zademonstrować działanie algorytmu Viterbiego,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zdefiniować podstawowe pojęcia stosowane w kodowaniu nadmiarowym (odległość Hamminga, dmin, moc detekcji i korekcji, zysk kodowy),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 xml:space="preserve">skonstruować tablicę dla liniowego </w:t>
            </w:r>
            <w:r w:rsidRPr="00FD13F9">
              <w:rPr>
                <w:rFonts w:ascii="Arial" w:hAnsi="Arial" w:cs="Arial"/>
                <w:lang w:eastAsia="en-US"/>
              </w:rPr>
              <w:lastRenderedPageBreak/>
              <w:t>kodu Hamminga (7,4),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zasadę działania kodu cyklicznego CRC,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IX. Metody zwielokrotnienia.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Podział system</w:t>
            </w:r>
            <w:r w:rsidRPr="00E22BDF">
              <w:rPr>
                <w:rFonts w:ascii="Arial" w:hAnsi="Arial" w:cs="Arial"/>
                <w:sz w:val="20"/>
                <w:szCs w:val="20"/>
                <w:lang w:eastAsia="en-US"/>
              </w:rPr>
              <w:t>ów zwielokrotnienia, podstawowe prawa w transmisji.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podstawowe systemy zwielokrotnienia z nazewnictwem polskim i anglojęzycznym,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wzór Nyquista dla transmisji bez interferencji i jego interpretację,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wzór Shannona- Hartleya dla transmisji w kanale rzeczywistym z szumem,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uzasadnić prawdziwość wzoru Nyquista,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obliczenia parametrów transmisji z użyciem wzorów Nyquista i S-H,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zinterpretować prawa Nyquista i S-H,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System naturalny transmisji i systemy FDM.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zasadę funkcjonowania systemu naturalnego,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narysować schemat systemu naturalnego,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istotę systemu z podziałem częstotliwości FDM,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zjawisko powstawania „echa”,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zasadę korekcji amplitudowej,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plan modulacji w systemie FDM,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3. Systemy TDMA, CDMA i WDMA.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zasadę zwielokrotnienia TDM na przykładzie systemu PCM,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zasadę zwielokrotnienia kodowego CDM na bazie rozpraszania widma DSSS,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istotę zwielokrotnienia WDM w systemach światłowodowych,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zasadę multipleksacji z przeplotem bitowym (PDH) oraz bajtowym i kolumnowym (SDH),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schemat funkcjonalny systemu CDMA i opisać bloki funkcjonalne,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implementacje systemów z rodziny WDM i opisać architekturę tych systemów,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„siatki” zwielokrotnienia WDM według ITU,</w:t>
            </w:r>
          </w:p>
        </w:tc>
      </w:tr>
    </w:tbl>
    <w:p w:rsidR="00E0249F" w:rsidRDefault="00E0249F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:rsidR="00023872" w:rsidRDefault="00023872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:rsidR="00E0249F" w:rsidRDefault="00E0249F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</w:t>
      </w:r>
    </w:p>
    <w:p w:rsidR="00281568" w:rsidRPr="00816E4B" w:rsidRDefault="00E0249F" w:rsidP="00E0249F">
      <w:pPr>
        <w:pStyle w:val="Akapitzlist"/>
        <w:jc w:val="right"/>
        <w:rPr>
          <w:rFonts w:ascii="Arial" w:hAnsi="Arial" w:cs="Arial"/>
          <w:sz w:val="2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podpis nauczyciela prowadzącego zajęcia</w:t>
      </w:r>
    </w:p>
    <w:sectPr w:rsidR="00281568" w:rsidRPr="00816E4B" w:rsidSect="00816E4B">
      <w:footerReference w:type="default" r:id="rId8"/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90E" w:rsidRDefault="00FB490E" w:rsidP="002122BE">
      <w:pPr>
        <w:spacing w:after="0" w:line="240" w:lineRule="auto"/>
      </w:pPr>
      <w:r>
        <w:separator/>
      </w:r>
    </w:p>
  </w:endnote>
  <w:endnote w:type="continuationSeparator" w:id="1">
    <w:p w:rsidR="00FB490E" w:rsidRDefault="00FB490E" w:rsidP="0021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26"/>
      <w:docPartObj>
        <w:docPartGallery w:val="Page Numbers (Bottom of Page)"/>
        <w:docPartUnique/>
      </w:docPartObj>
    </w:sdtPr>
    <w:sdtContent>
      <w:p w:rsidR="002122BE" w:rsidRDefault="00CB7C78">
        <w:pPr>
          <w:pStyle w:val="Stopka"/>
          <w:jc w:val="right"/>
        </w:pPr>
        <w:fldSimple w:instr=" PAGE   \* MERGEFORMAT ">
          <w:r w:rsidR="00D57D45">
            <w:rPr>
              <w:noProof/>
            </w:rPr>
            <w:t>4</w:t>
          </w:r>
        </w:fldSimple>
      </w:p>
    </w:sdtContent>
  </w:sdt>
  <w:p w:rsidR="002122BE" w:rsidRDefault="002122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90E" w:rsidRDefault="00FB490E" w:rsidP="002122BE">
      <w:pPr>
        <w:spacing w:after="0" w:line="240" w:lineRule="auto"/>
      </w:pPr>
      <w:r>
        <w:separator/>
      </w:r>
    </w:p>
  </w:footnote>
  <w:footnote w:type="continuationSeparator" w:id="1">
    <w:p w:rsidR="00FB490E" w:rsidRDefault="00FB490E" w:rsidP="0021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CF5"/>
    <w:multiLevelType w:val="hybridMultilevel"/>
    <w:tmpl w:val="E09EC6FC"/>
    <w:lvl w:ilvl="0" w:tplc="EADC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932E3"/>
    <w:multiLevelType w:val="hybridMultilevel"/>
    <w:tmpl w:val="D6B0B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4E498D"/>
    <w:multiLevelType w:val="hybridMultilevel"/>
    <w:tmpl w:val="B5D40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24C67"/>
    <w:multiLevelType w:val="hybridMultilevel"/>
    <w:tmpl w:val="A8704FB0"/>
    <w:lvl w:ilvl="0" w:tplc="022A73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B428D"/>
    <w:multiLevelType w:val="hybridMultilevel"/>
    <w:tmpl w:val="BC024A6E"/>
    <w:lvl w:ilvl="0" w:tplc="E7343A4A">
      <w:start w:val="1"/>
      <w:numFmt w:val="bullet"/>
      <w:pStyle w:val="lewyteks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57B7D2E"/>
    <w:multiLevelType w:val="hybridMultilevel"/>
    <w:tmpl w:val="1FC66FC0"/>
    <w:lvl w:ilvl="0" w:tplc="07F23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50632"/>
    <w:multiLevelType w:val="hybridMultilevel"/>
    <w:tmpl w:val="C6EAB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5431B"/>
    <w:multiLevelType w:val="hybridMultilevel"/>
    <w:tmpl w:val="2F82E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93E88"/>
    <w:multiLevelType w:val="hybridMultilevel"/>
    <w:tmpl w:val="6EAE62DE"/>
    <w:lvl w:ilvl="0" w:tplc="8D881FE8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388C"/>
    <w:rsid w:val="00002EF3"/>
    <w:rsid w:val="00010786"/>
    <w:rsid w:val="00023872"/>
    <w:rsid w:val="00093A3C"/>
    <w:rsid w:val="000C36CA"/>
    <w:rsid w:val="000F131D"/>
    <w:rsid w:val="00162DE3"/>
    <w:rsid w:val="001760E0"/>
    <w:rsid w:val="001B5DB1"/>
    <w:rsid w:val="001F6BCC"/>
    <w:rsid w:val="002122BE"/>
    <w:rsid w:val="002232CE"/>
    <w:rsid w:val="00223E30"/>
    <w:rsid w:val="00281568"/>
    <w:rsid w:val="002C47F4"/>
    <w:rsid w:val="002E2193"/>
    <w:rsid w:val="00314BFC"/>
    <w:rsid w:val="0038291C"/>
    <w:rsid w:val="003A4160"/>
    <w:rsid w:val="003A5FA4"/>
    <w:rsid w:val="003C42A3"/>
    <w:rsid w:val="003F7197"/>
    <w:rsid w:val="00425617"/>
    <w:rsid w:val="00447773"/>
    <w:rsid w:val="00450532"/>
    <w:rsid w:val="004A4CE3"/>
    <w:rsid w:val="004A67C5"/>
    <w:rsid w:val="004D5CF7"/>
    <w:rsid w:val="004F4FB8"/>
    <w:rsid w:val="00513FC6"/>
    <w:rsid w:val="00517B9D"/>
    <w:rsid w:val="00527DC3"/>
    <w:rsid w:val="005311C8"/>
    <w:rsid w:val="0059343F"/>
    <w:rsid w:val="005F42B0"/>
    <w:rsid w:val="00614DCC"/>
    <w:rsid w:val="00646754"/>
    <w:rsid w:val="00665B62"/>
    <w:rsid w:val="006708A6"/>
    <w:rsid w:val="0068116D"/>
    <w:rsid w:val="00697A72"/>
    <w:rsid w:val="0072437F"/>
    <w:rsid w:val="00742F9F"/>
    <w:rsid w:val="007756C4"/>
    <w:rsid w:val="00793974"/>
    <w:rsid w:val="007E0FDB"/>
    <w:rsid w:val="00816E4B"/>
    <w:rsid w:val="0082319C"/>
    <w:rsid w:val="00860C70"/>
    <w:rsid w:val="00863915"/>
    <w:rsid w:val="0089075A"/>
    <w:rsid w:val="00891D0B"/>
    <w:rsid w:val="008D4E1A"/>
    <w:rsid w:val="0098388C"/>
    <w:rsid w:val="00997AF0"/>
    <w:rsid w:val="009C7579"/>
    <w:rsid w:val="00A1422E"/>
    <w:rsid w:val="00A20D5C"/>
    <w:rsid w:val="00A351ED"/>
    <w:rsid w:val="00A475E5"/>
    <w:rsid w:val="00A571D9"/>
    <w:rsid w:val="00A6187E"/>
    <w:rsid w:val="00AB6719"/>
    <w:rsid w:val="00AE7887"/>
    <w:rsid w:val="00AF20CD"/>
    <w:rsid w:val="00AF2F47"/>
    <w:rsid w:val="00B1046D"/>
    <w:rsid w:val="00B274DB"/>
    <w:rsid w:val="00BB1594"/>
    <w:rsid w:val="00BD2BAC"/>
    <w:rsid w:val="00BD3383"/>
    <w:rsid w:val="00BD7635"/>
    <w:rsid w:val="00BF3891"/>
    <w:rsid w:val="00C2722D"/>
    <w:rsid w:val="00C7593B"/>
    <w:rsid w:val="00C75B2E"/>
    <w:rsid w:val="00CB33DC"/>
    <w:rsid w:val="00CB648E"/>
    <w:rsid w:val="00CB670A"/>
    <w:rsid w:val="00CB7C78"/>
    <w:rsid w:val="00D432BF"/>
    <w:rsid w:val="00D52A44"/>
    <w:rsid w:val="00D57D45"/>
    <w:rsid w:val="00D7390D"/>
    <w:rsid w:val="00D75427"/>
    <w:rsid w:val="00DC183E"/>
    <w:rsid w:val="00DF39AB"/>
    <w:rsid w:val="00E0249F"/>
    <w:rsid w:val="00E03CB2"/>
    <w:rsid w:val="00EE126F"/>
    <w:rsid w:val="00F14AB7"/>
    <w:rsid w:val="00F321FD"/>
    <w:rsid w:val="00F35002"/>
    <w:rsid w:val="00F60D65"/>
    <w:rsid w:val="00FB257D"/>
    <w:rsid w:val="00FB490E"/>
    <w:rsid w:val="00FE049E"/>
    <w:rsid w:val="00FE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uiPriority w:val="99"/>
    <w:rsid w:val="0028156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Akapitzlist">
    <w:name w:val="List Paragraph"/>
    <w:aliases w:val="Numerowanie,List Paragraph,Kolorowa lista — akcent 11,N w prog,Obiekt,normalny tekst,ORE MYŚLNIKI,Średnia siatka 1 — akcent 21,Jasna siatka — akcent 31,Colorful List Accent 1,Colorful List - Accent 11,Heding 2,a_Stand,numerowanie,Paragraf"/>
    <w:basedOn w:val="Normalny"/>
    <w:link w:val="AkapitzlistZnak"/>
    <w:uiPriority w:val="34"/>
    <w:qFormat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List Paragraph Znak,Kolorowa lista — akcent 11 Znak,N w prog Znak,Obiekt Znak,normalny tekst Znak,ORE MYŚLNIKI Znak,Średnia siatka 1 — akcent 21 Znak,Jasna siatka — akcent 31 Znak,Colorful List Accent 1 Znak"/>
    <w:link w:val="Akapitzlist"/>
    <w:uiPriority w:val="34"/>
    <w:qFormat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DefaultZnak">
    <w:name w:val="Default Znak"/>
    <w:link w:val="Default"/>
    <w:uiPriority w:val="99"/>
    <w:rsid w:val="00281568"/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lewytekst">
    <w:name w:val="lewy tekst"/>
    <w:basedOn w:val="Akapitzlist"/>
    <w:qFormat/>
    <w:rsid w:val="00281568"/>
    <w:pPr>
      <w:numPr>
        <w:numId w:val="1"/>
      </w:numPr>
      <w:spacing w:after="0" w:line="240" w:lineRule="auto"/>
      <w:ind w:left="357" w:hanging="357"/>
      <w:jc w:val="both"/>
    </w:pPr>
    <w:rPr>
      <w:rFonts w:eastAsia="Calibri" w:cs="Calibri"/>
      <w:iCs/>
    </w:rPr>
  </w:style>
  <w:style w:type="paragraph" w:customStyle="1" w:styleId="lewytabela">
    <w:name w:val="lewy tabela"/>
    <w:basedOn w:val="lewytekst"/>
    <w:link w:val="lewytabelaZnak"/>
    <w:qFormat/>
    <w:rsid w:val="00281568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281568"/>
    <w:rPr>
      <w:rFonts w:ascii="Calibri" w:eastAsia="Calibri" w:hAnsi="Calibri" w:cs="Calibri"/>
      <w:iCs/>
      <w:sz w:val="18"/>
      <w:szCs w:val="20"/>
    </w:rPr>
  </w:style>
  <w:style w:type="paragraph" w:styleId="NormalnyWeb">
    <w:name w:val="Normal (Web)"/>
    <w:basedOn w:val="Normalny"/>
    <w:uiPriority w:val="99"/>
    <w:semiHidden/>
    <w:unhideWhenUsed/>
    <w:rsid w:val="00223E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C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1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2BE"/>
  </w:style>
  <w:style w:type="paragraph" w:styleId="Stopka">
    <w:name w:val="footer"/>
    <w:basedOn w:val="Normalny"/>
    <w:link w:val="StopkaZnak"/>
    <w:uiPriority w:val="99"/>
    <w:unhideWhenUsed/>
    <w:rsid w:val="0021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uiPriority w:val="99"/>
    <w:rsid w:val="0028156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DefaultZnak">
    <w:name w:val="Default Znak"/>
    <w:link w:val="Default"/>
    <w:uiPriority w:val="99"/>
    <w:rsid w:val="00281568"/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lewytekst">
    <w:name w:val="lewy tekst"/>
    <w:basedOn w:val="Akapitzlist"/>
    <w:qFormat/>
    <w:rsid w:val="00281568"/>
    <w:pPr>
      <w:numPr>
        <w:numId w:val="1"/>
      </w:numPr>
      <w:spacing w:after="0" w:line="240" w:lineRule="auto"/>
      <w:ind w:left="357" w:hanging="357"/>
      <w:jc w:val="both"/>
    </w:pPr>
    <w:rPr>
      <w:rFonts w:eastAsia="Calibri" w:cs="Calibri"/>
      <w:iCs/>
    </w:rPr>
  </w:style>
  <w:style w:type="paragraph" w:customStyle="1" w:styleId="lewytabela">
    <w:name w:val="lewy tabela"/>
    <w:basedOn w:val="lewytekst"/>
    <w:link w:val="lewytabelaZnak"/>
    <w:qFormat/>
    <w:rsid w:val="00281568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281568"/>
    <w:rPr>
      <w:rFonts w:ascii="Calibri" w:eastAsia="Calibri" w:hAnsi="Calibri" w:cs="Calibri"/>
      <w:iCs/>
      <w:sz w:val="18"/>
      <w:szCs w:val="20"/>
    </w:rPr>
  </w:style>
  <w:style w:type="paragraph" w:styleId="NormalnyWeb">
    <w:name w:val="Normal (Web)"/>
    <w:basedOn w:val="Normalny"/>
    <w:uiPriority w:val="99"/>
    <w:semiHidden/>
    <w:unhideWhenUsed/>
    <w:rsid w:val="00223E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C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0B41-254A-44F0-BAF5-662A16EB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2352</Words>
  <Characters>14115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Stopka</dc:creator>
  <cp:lastModifiedBy>Andrzej Gołaszewski</cp:lastModifiedBy>
  <cp:revision>3</cp:revision>
  <cp:lastPrinted>2019-09-04T07:28:00Z</cp:lastPrinted>
  <dcterms:created xsi:type="dcterms:W3CDTF">2023-09-05T06:35:00Z</dcterms:created>
  <dcterms:modified xsi:type="dcterms:W3CDTF">2023-09-05T06:35:00Z</dcterms:modified>
</cp:coreProperties>
</file>