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A4" w:rsidRDefault="00D06DA4" w:rsidP="00D06DA4">
      <w:pPr>
        <w:pStyle w:val="lewytabela"/>
        <w:numPr>
          <w:ilvl w:val="0"/>
          <w:numId w:val="0"/>
        </w:numPr>
        <w:ind w:left="35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Wymagania edukacyjne na ocenę śródroc</w:t>
      </w:r>
      <w:r w:rsidR="00284C47">
        <w:rPr>
          <w:rFonts w:ascii="Arial" w:eastAsia="Times New Roman" w:hAnsi="Arial" w:cs="Arial"/>
          <w:sz w:val="24"/>
          <w:szCs w:val="24"/>
        </w:rPr>
        <w:t>zną i roczną na rok szkolny 2023</w:t>
      </w:r>
      <w:r>
        <w:rPr>
          <w:rFonts w:ascii="Arial" w:eastAsia="Times New Roman" w:hAnsi="Arial" w:cs="Arial"/>
          <w:sz w:val="24"/>
          <w:szCs w:val="24"/>
        </w:rPr>
        <w:t>/202</w:t>
      </w:r>
      <w:r w:rsidR="00284C47">
        <w:rPr>
          <w:rFonts w:ascii="Arial" w:eastAsia="Times New Roman" w:hAnsi="Arial" w:cs="Arial"/>
          <w:sz w:val="24"/>
          <w:szCs w:val="24"/>
        </w:rPr>
        <w:t>4</w:t>
      </w:r>
    </w:p>
    <w:p w:rsidR="000C36CA" w:rsidRDefault="0098388C" w:rsidP="00AF20CD">
      <w:pPr>
        <w:pStyle w:val="lewytabela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0C36CA">
        <w:rPr>
          <w:rFonts w:ascii="Arial" w:eastAsia="Times New Roman" w:hAnsi="Arial" w:cs="Arial"/>
          <w:sz w:val="24"/>
          <w:szCs w:val="24"/>
        </w:rPr>
        <w:br/>
      </w:r>
    </w:p>
    <w:tbl>
      <w:tblPr>
        <w:tblStyle w:val="Tabela-Siatka"/>
        <w:tblW w:w="0" w:type="auto"/>
        <w:tblInd w:w="988" w:type="dxa"/>
        <w:tblLayout w:type="fixed"/>
        <w:tblLook w:val="04A0"/>
      </w:tblPr>
      <w:tblGrid>
        <w:gridCol w:w="6084"/>
        <w:gridCol w:w="6126"/>
      </w:tblGrid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  <w:r w:rsidRPr="000C36CA">
              <w:rPr>
                <w:rFonts w:ascii="Arial" w:hAnsi="Arial" w:cs="Arial"/>
              </w:rPr>
              <w:t>Przedmiot</w:t>
            </w:r>
          </w:p>
        </w:tc>
        <w:tc>
          <w:tcPr>
            <w:tcW w:w="6126" w:type="dxa"/>
          </w:tcPr>
          <w:p w:rsidR="000C36CA" w:rsidRPr="000C36CA" w:rsidRDefault="007D6EC7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Systemy komutacyjne</w:t>
            </w:r>
          </w:p>
        </w:tc>
      </w:tr>
      <w:bookmarkEnd w:id="0"/>
      <w:tr w:rsidR="000C36CA" w:rsidTr="00742F9F">
        <w:trPr>
          <w:trHeight w:val="50"/>
        </w:trPr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Klasa</w:t>
            </w:r>
          </w:p>
        </w:tc>
        <w:tc>
          <w:tcPr>
            <w:tcW w:w="6126" w:type="dxa"/>
          </w:tcPr>
          <w:p w:rsidR="000C36CA" w:rsidRPr="000C36CA" w:rsidRDefault="00DC2E2B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C36CA" w:rsidRPr="000C36CA">
              <w:rPr>
                <w:rFonts w:ascii="Arial" w:hAnsi="Arial" w:cs="Arial"/>
              </w:rPr>
              <w:t>t</w:t>
            </w:r>
            <w:r w:rsidR="00535D59">
              <w:rPr>
                <w:rFonts w:ascii="Arial" w:hAnsi="Arial" w:cs="Arial"/>
              </w:rPr>
              <w:t>5</w:t>
            </w:r>
          </w:p>
        </w:tc>
      </w:tr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Nauczyciel Uczący</w:t>
            </w:r>
          </w:p>
        </w:tc>
        <w:tc>
          <w:tcPr>
            <w:tcW w:w="6126" w:type="dxa"/>
          </w:tcPr>
          <w:p w:rsidR="000C36CA" w:rsidRPr="000C36CA" w:rsidRDefault="004D5CF7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Gołaszewski</w:t>
            </w:r>
          </w:p>
        </w:tc>
      </w:tr>
    </w:tbl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6E4B" w:rsidRDefault="00816E4B" w:rsidP="00816E4B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816E4B" w:rsidRPr="002122BE" w:rsidRDefault="00816E4B" w:rsidP="002122B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122BE">
        <w:rPr>
          <w:rFonts w:ascii="Arial" w:hAnsi="Arial" w:cs="Arial"/>
        </w:rPr>
        <w:t>Nauczyciel dostosowuje wymagania w zakresie wiedzy i umiejętności z danego przedmiotu w stosunku do uczniów, u których stwierdzono deficyty rozwojowe uniemożliwiające sprostanie wymaganiom edukacyjnym, potwierdzone odpowiednim dokumentem z poradni psychologiczno – pedagogicznej.</w:t>
      </w:r>
    </w:p>
    <w:p w:rsidR="00816E4B" w:rsidRPr="002122BE" w:rsidRDefault="00816E4B" w:rsidP="002122B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122BE">
        <w:rPr>
          <w:rFonts w:ascii="Arial" w:hAnsi="Arial" w:cs="Arial"/>
        </w:rPr>
        <w:t>Możliwe sposoby sprawdzania wiedzy i umiejętności</w:t>
      </w:r>
      <w:r w:rsidR="002122BE">
        <w:rPr>
          <w:rFonts w:ascii="Arial" w:hAnsi="Arial" w:cs="Arial"/>
        </w:rPr>
        <w:t>:</w:t>
      </w:r>
    </w:p>
    <w:p w:rsidR="002122BE" w:rsidRDefault="002122BE" w:rsidP="002122BE">
      <w:pPr>
        <w:pStyle w:val="Akapitzlist"/>
        <w:rPr>
          <w:rFonts w:ascii="Arial" w:hAnsi="Arial" w:cs="Arial"/>
        </w:rPr>
      </w:pP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odpowiedź ustna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jakość pracy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aktywność na lekcji/ bieżąca praca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współpraca w grupie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ćwiczenia projektowe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krótki pisemny sprawdzian z bieżących wiadomości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sprawdzian podsumowujący dział</w:t>
      </w:r>
    </w:p>
    <w:p w:rsidR="00816E4B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osiągnięcia w konkursach i olimpiadach</w:t>
      </w:r>
    </w:p>
    <w:p w:rsidR="00816E4B" w:rsidRDefault="00816E4B">
      <w:r>
        <w:br w:type="page"/>
      </w:r>
    </w:p>
    <w:tbl>
      <w:tblPr>
        <w:tblStyle w:val="Tabela-Siatka"/>
        <w:tblW w:w="5000" w:type="pct"/>
        <w:jc w:val="center"/>
        <w:tblLook w:val="04A0"/>
      </w:tblPr>
      <w:tblGrid>
        <w:gridCol w:w="3026"/>
        <w:gridCol w:w="3025"/>
        <w:gridCol w:w="3025"/>
        <w:gridCol w:w="3025"/>
        <w:gridCol w:w="3025"/>
      </w:tblGrid>
      <w:tr w:rsidR="00816E4B" w:rsidTr="004577E5">
        <w:trPr>
          <w:jc w:val="center"/>
        </w:trPr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lastRenderedPageBreak/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CELUJĄCY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BARDZO 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DOSTATECZNY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>OCENA DOPUSZCZAJĄCY</w:t>
            </w:r>
          </w:p>
        </w:tc>
      </w:tr>
      <w:tr w:rsidR="00816E4B" w:rsidTr="004577E5">
        <w:trPr>
          <w:jc w:val="center"/>
        </w:trPr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rozwiązuje samodzielnie zadania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stosuje wiadomości w sytuacjach nietypowych,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osiąga sukcesy w konkursach i olimpiadach przedmiotowych,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zdobytą wiedzę potrafi zastosować w nowych sytuacjach,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samodzielnie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korzysta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z różnych źródeł wiedzy,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przeprowadzić analizę matematyczną zagadnień technicznych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zadania rachunkowe i problemowe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kierować pracą w grupie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stosuje narzędzia naukowe w rozwiązywaniu problemów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dużym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 poprawnie stosuje wiadomości do rozwiązywania zadań typowych lub problemów,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posługiwać się instrukcjami technicznymi rozwiązań poznanymi w obrębie przedmiotu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stosuje rozwiązania techniczne poznane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-potrafi przeprowadzić analizę działania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dobiera rozwiązania techniczne w konkretnych warunkach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przewiduje problemy w realizacji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sporządza dokumentacje techniczną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opanował w podstawowym zakresie wiadomości i umiejętności określone w programie,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rozumie podstawowe prawa i zjawiska wykorzystywane w rozwiązaniach technicznych poznanych 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 ilustrować zagadnienie na rysunku, wykresie, schemacie,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proste zadania i problemy techniczne,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zastosować metodologię pomiarową stosowaną w transmisji danych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przedstawia wyniki pomiarowe rozwiązania technicznego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zasady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matematycznej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rozwiązania technicznego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rozpoznaje schematy blokowe i ideowe rozwiązań technicznych 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planuje działania w celu rozwiązania problemów technicznych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posiada wiadomości i umiejętności niezbędne do dalszego kontynuowania nauki i przydatne w życiu codziennym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ma braki w wiadomościach i umiejętnościach określonych programem, ale te braki nie przekreślają możliwości dalszego kształcenia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dokonuje klasyfikacji rozwiązań technicznych poznanych w ramach przedmiotu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rozróżnia rozwiązania techniczne poznane w ramach przedmiotów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terminologię stosowaną w zagadnieniach technicznych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zna zasadę działania rozwiązań technicznych </w:t>
            </w:r>
            <w:r>
              <w:rPr>
                <w:rFonts w:ascii="Arial" w:hAnsi="Arial" w:cs="Arial"/>
                <w:sz w:val="20"/>
                <w:szCs w:val="20"/>
              </w:rPr>
              <w:t>poznanych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w ramach przedmiotów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i stosuje instrukcje techniczne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 i stosuje zasady pracy w warunkach produkcyjnych podczas wykorzystywania rozwiązań technicznych</w:t>
            </w:r>
          </w:p>
        </w:tc>
      </w:tr>
    </w:tbl>
    <w:p w:rsidR="00816E4B" w:rsidRPr="000C36CA" w:rsidRDefault="00816E4B" w:rsidP="00665B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Efekty kształcenia</w:t>
      </w:r>
      <w:r w:rsidR="00FE4EDB">
        <w:rPr>
          <w:rFonts w:ascii="Arial" w:hAnsi="Arial" w:cs="Arial"/>
          <w:sz w:val="24"/>
          <w:szCs w:val="24"/>
          <w:u w:val="single"/>
        </w:rPr>
        <w:t>:</w:t>
      </w:r>
    </w:p>
    <w:p w:rsidR="000F131D" w:rsidRPr="00223E30" w:rsidRDefault="000F131D" w:rsidP="00665B6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B1046D" w:rsidRPr="00B1046D" w:rsidRDefault="00B1046D" w:rsidP="00BD7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046D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3"/>
        <w:gridCol w:w="3295"/>
        <w:gridCol w:w="1725"/>
        <w:gridCol w:w="3415"/>
        <w:gridCol w:w="3574"/>
      </w:tblGrid>
      <w:tr w:rsidR="007D6EC7" w:rsidRPr="00FD13F9" w:rsidTr="002F4F02">
        <w:trPr>
          <w:trHeight w:val="55"/>
        </w:trPr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Dział programowy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Tematy jednostek metodycznych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Wymagania programowe</w:t>
            </w:r>
          </w:p>
        </w:tc>
      </w:tr>
      <w:tr w:rsidR="007D6EC7" w:rsidRPr="00FD13F9" w:rsidTr="002F4F02">
        <w:trPr>
          <w:trHeight w:val="55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Podstawowe</w:t>
            </w:r>
          </w:p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Uczeń potrafi: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Ponadpodstawowe</w:t>
            </w:r>
          </w:p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Uczeń potrafi:</w:t>
            </w:r>
          </w:p>
        </w:tc>
      </w:tr>
      <w:tr w:rsidR="007D6EC7" w:rsidRPr="00FD13F9" w:rsidTr="002F4F02">
        <w:trPr>
          <w:trHeight w:val="1685"/>
        </w:trPr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Techniki komutacji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Podstawowe poję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cia dotyczące technik komutacji.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pojęcia komutacja,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techniki komutacji,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ogólnie techniki komutacji,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zastosowanie poszczególnych technik komutacji,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zalety technik komutacji dla danych obszarów zastosowań,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wady technik komutacji dla danych obszarów zastosowań,</w:t>
            </w:r>
          </w:p>
        </w:tc>
      </w:tr>
      <w:tr w:rsidR="007D6EC7" w:rsidRPr="00FD13F9" w:rsidTr="002F4F02">
        <w:trPr>
          <w:trHeight w:val="693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Techniki komutacji stosowane w sieciach telefonicznych.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komutację kanałów (właściwości, obszary zastosowań),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komutację pakietów (definicje, właściwości, obszary zastosowań),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wielostrumieniową komutację kanałów  (definicje, właściwości, obszary zastosowań),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komutację pakietów (tryb datagram, połączenie wirtualne),</w:t>
            </w:r>
          </w:p>
        </w:tc>
      </w:tr>
      <w:tr w:rsidR="007D6EC7" w:rsidRPr="00FD13F9" w:rsidTr="002F4F02">
        <w:trPr>
          <w:trHeight w:val="259"/>
        </w:trPr>
        <w:tc>
          <w:tcPr>
            <w:tcW w:w="1701" w:type="dxa"/>
            <w:vMerge w:val="restart"/>
            <w:shd w:val="clear" w:color="auto" w:fill="auto"/>
            <w:hideMark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 Sieci telefoniczne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1. </w:t>
            </w:r>
            <w:r w:rsidRPr="00FD13F9">
              <w:rPr>
                <w:rFonts w:ascii="Arial" w:eastAsia="Arial" w:hAnsi="Arial" w:cs="Arial"/>
                <w:sz w:val="20"/>
                <w:szCs w:val="20"/>
                <w:lang w:val="en-US"/>
              </w:rPr>
              <w:t>Sieci PSTN (</w:t>
            </w:r>
            <w:r w:rsidRPr="00FD13F9">
              <w:rPr>
                <w:rStyle w:val="e24kjd"/>
                <w:rFonts w:ascii="Arial" w:hAnsi="Arial" w:cs="Arial"/>
                <w:sz w:val="20"/>
                <w:szCs w:val="20"/>
                <w:lang w:val="en-US"/>
              </w:rPr>
              <w:t>Public Switched Telephone Network).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8E1DBD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sieci PSTN,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elementy składowe sieci telefonicznej,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parametry sieci PSTN w punkcie NTP,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strukturę sieci telefonicznej,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urządzenia końcowe,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schemat blokowy aparatu telefonicznego,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usługi w sieci PSTN,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analogowe przetworniki sygnału (mikrofon, głośnik),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wyjaśnić budowę oraz zasadę działania układu antylokalnego,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val="en-US" w:eastAsia="en-US"/>
              </w:rPr>
              <w:t>2. Sieci  ISDN (Integrated Services Digital Network</w:t>
            </w:r>
            <w:r w:rsidRPr="00FD13F9">
              <w:rPr>
                <w:rStyle w:val="st"/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sieci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usługi przenoszenia i teleusługi,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dostępów w sieci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konfigurację odniesienia dla dostępu abonenckiego w sieci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narysować i opisać konfigurację urządzeń na styku S,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numerację w cyfrowej sieci z integracją usług,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scharakteryzować usługi w sieci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parametry styków: U, S, T, R,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terminali abonenckich,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określić przyczyny powstawania echa  w torze,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wyjaśnić zasadę kasowania echa,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model odniesienia ISDN,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Systemy PBX </w:t>
            </w:r>
            <w:r w:rsidRPr="00FD13F9">
              <w:rPr>
                <w:rStyle w:val="st"/>
                <w:rFonts w:ascii="Arial" w:hAnsi="Arial" w:cs="Arial"/>
                <w:sz w:val="20"/>
                <w:szCs w:val="20"/>
                <w:lang w:val="en-US"/>
              </w:rPr>
              <w:t>(Private Branch Exchange).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central PBX,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rodzaje, i miejsce zastosowań,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elementy central PBX,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val="en-US" w:eastAsia="en-US"/>
              </w:rPr>
              <w:t>Technologia VoIP (Voice over Internet Protocol).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i opisać implementacje usługi VoIP,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wymienić protokoły umożliwiające realizację telefonii internetowej,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elementy sieci opartej na protokole H.323,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architekturę funkcjonalną sieci IP wykorzystującej protokół SIP,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budowę i funkcje protokołów: RTP, RTCP, RSVP,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budowę i funkcje protokołów sygnalizacyjnych telefonii internetowej (SIP, H.323),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3.Sieci GSM (Global System for Mobile Communications).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8E1DBD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systemów komunikacji ruchomej,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przedstawić graficznie strukturę sieci GSM i opisać poszczególne bloki,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usług w sieci GSM,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definicję sieci telefonii komórkowej trzeciej generacji (UMTS),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strukturę funkcjonalną sieci UMTS,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definicję sieci telefonii komórkowej czwartej generacji (LTE), 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protokoły stosowane w sieciach telefonii komórkowej,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budowę i rodzaje usług w telefonii komórkowej trzeciej generacji,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budowę i zasadę działania systemu cyfrowej telefonii komórkowej czwartej generacji (LTE),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system cyfrowej telefonii komórkowej piątej generacji,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 w:val="restart"/>
            <w:shd w:val="clear" w:color="auto" w:fill="auto"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 Sygnalizacja w sieciach komutacyj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nych</w:t>
            </w:r>
            <w:r w:rsidRPr="00E22BD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Funkcje i rodzaje sygnalizacji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fazy obsługi połączenia w sieciach komutacyjnych,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ogólny przebieg zestawiania połączenia,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i opisać metody sygnalizacji,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funkcje sygnalizacji,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sygnalizacji,</w:t>
            </w:r>
          </w:p>
        </w:tc>
      </w:tr>
      <w:tr w:rsidR="007D6EC7" w:rsidRPr="00FD13F9" w:rsidTr="002F4F02">
        <w:trPr>
          <w:trHeight w:val="401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Sygnalizacja abonencka. 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schemat wymiany sygnałów w telefonicznym analogowym łączu abonenckim,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przedstawić przebieg wymiany wiadomości sygnalizacji DSS1 podczas nawiązywania połączenia,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typy wiadomości sygnalizacyjnych w łączu cyfrowym,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format ramki LAPD i opisać poszczególne pola,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scharakteryzować sygnalizację w łączu analogowym,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określić funkcje  protokołów  </w:t>
            </w:r>
            <w:r w:rsidRPr="00FD13F9">
              <w:rPr>
                <w:rFonts w:ascii="Arial" w:hAnsi="Arial" w:cs="Arial"/>
              </w:rPr>
              <w:lastRenderedPageBreak/>
              <w:t>poszczególnych warstw sygnalizacji DSS1,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Sygnalizacja międzycentralowa.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sygnalizacji skojarzonej z kanałem,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sygnalizacji we wspólnym kanale,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funkcje i przeznaczenie systemu sygnalizacji SS7,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 zestaw protokołów systemu sygnalizacji SS7,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funkcje realizowane przez SCCP,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funkcje realizowane przez TC,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rolę SS7 w sieci inteligentnej,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rolę SS7 w sieciach szerokopasmowych,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rolę SS7 w sieciach komórkowych,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rolę SS7 w sieciach IP,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wady i zalety sygnalizacji skojarzonej z kanałem,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wady i zalety sygnalizacji we wspólnym kanale,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elementy składowe sieci sygnalizacyjnej systemu nr 7,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warstwy transferu wiadomości (MTP-1, MTP-2, MTP-3),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sterowanie połączeniami sygnalizacyjnymi (SCCP),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TC - część aplikacyjną transakcji,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ISUP - część użytkownika ISDN,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zarządzanie siecią SS7 (OMAP),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 w:val="restart"/>
            <w:shd w:val="clear" w:color="auto" w:fill="auto"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 Budowa i funkcje węzłów komutacyjnych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1.Rodzaje węzłów komutacyjnych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przedstawić ogólną budowę węzła komutacyjnego, 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podziały  węzłów komutacyjnych wykorzystując kryterium technologii stosowanej do ich budowy,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podziały  węzłów komutacyjnych ze względu na sposób transferu informacji w węźle,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koncentratorów,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schemat funkcjonalny centrali i opisać poszczególne bloki,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porównać typy struktur koncentratorów,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 Pola komutacyjne.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pola komutacyjnego,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symbole pół komutacyjnych,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pól komutacyjnych ze względu na wskazane kryterium podziału,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pola komutacyjnego przestrzennego,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pola komutacyjnego czasowego,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definicję pola komutacyjnego przestrzenno,-czasowego, 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pola ze względu na rodzaj wejść i wyjść,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pola ze względu na liczbę sekcji,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strukturę pola komutacyjnego nieblokowalnego w wąskim sensie,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porównać pola komutacyjne nieblokowalne w wąskim i szerokim sensie,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porównać budowę i zasadę działania pola komutacyjnego przestrzennego z polem czasowym,</w:t>
            </w:r>
          </w:p>
        </w:tc>
      </w:tr>
      <w:tr w:rsidR="007D6EC7" w:rsidRPr="00FD13F9" w:rsidTr="002F4F02">
        <w:trPr>
          <w:trHeight w:val="516"/>
        </w:trPr>
        <w:tc>
          <w:tcPr>
            <w:tcW w:w="1701" w:type="dxa"/>
            <w:vMerge w:val="restart"/>
            <w:shd w:val="clear" w:color="auto" w:fill="auto"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 Teoria ruchu telekomunikacyjnego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D13F9">
              <w:rPr>
                <w:rFonts w:ascii="Arial" w:hAnsi="Arial" w:cs="Arial"/>
                <w:sz w:val="20"/>
                <w:szCs w:val="20"/>
              </w:rPr>
              <w:t>Podstawowe pojęcia teorii ruchu telekomunikacyjnego.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pojęcia: natężenie ruchu, strumienie zdarzeń, blokada i jakość obsługi,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ruchu telekomunikacyjnego,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EC7" w:rsidRPr="00FD13F9" w:rsidTr="002F4F02">
        <w:trPr>
          <w:trHeight w:val="199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2. Pomiar ruchu telekomunikacyjnego.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cele pomiaru ruchu telekomunikacyjnego,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sposoby wymiarowania wiązek telekomunikacyjnych,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obliczyć natężenie ruchu na podstawie wyników obserwacji łącza, 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zakres pomiaru ruchu telekomunikacyjnego,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model Erlanga dla wiązki doskonałej ze stratami,</w:t>
            </w:r>
          </w:p>
        </w:tc>
      </w:tr>
      <w:tr w:rsidR="007D6EC7" w:rsidRPr="00FD13F9" w:rsidTr="002F4F02">
        <w:trPr>
          <w:trHeight w:val="199"/>
        </w:trPr>
        <w:tc>
          <w:tcPr>
            <w:tcW w:w="1701" w:type="dxa"/>
            <w:vMerge w:val="restart"/>
            <w:shd w:val="clear" w:color="auto" w:fill="auto"/>
          </w:tcPr>
          <w:p w:rsidR="007D6EC7" w:rsidRPr="00E22BDF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VI. Zarządzanie komutacją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14EE4">
              <w:rPr>
                <w:rFonts w:ascii="Arial" w:hAnsi="Arial" w:cs="Arial"/>
                <w:sz w:val="20"/>
                <w:szCs w:val="20"/>
              </w:rPr>
              <w:t>1. Podstawowe pojęcia dotyczące eksploatacji i utrzymania sieci</w:t>
            </w:r>
            <w:r w:rsidRPr="00FD13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i opisać warstwy modelu zarządzania telekomunikacją,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i opisać typowe funkcje utrzymaniowe,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testy automatyczne związane z łączem abonenckim i zespołem liniowym,</w:t>
            </w:r>
          </w:p>
        </w:tc>
      </w:tr>
      <w:tr w:rsidR="007D6EC7" w:rsidRPr="00FD13F9" w:rsidTr="002F4F02">
        <w:trPr>
          <w:trHeight w:val="199"/>
        </w:trPr>
        <w:tc>
          <w:tcPr>
            <w:tcW w:w="1701" w:type="dxa"/>
            <w:vMerge/>
            <w:shd w:val="clear" w:color="auto" w:fill="auto"/>
            <w:vAlign w:val="center"/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2. Centra zarządzania sieci TMN (Telecommunications Management Network).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2F4F0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6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funkcje sieci TMN,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model zarządzania jakością,</w:t>
            </w:r>
          </w:p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definicję dostępności i niezawodności,</w:t>
            </w:r>
          </w:p>
        </w:tc>
        <w:tc>
          <w:tcPr>
            <w:tcW w:w="322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D6EC7" w:rsidRPr="00FD13F9" w:rsidRDefault="007D6EC7" w:rsidP="007D6EC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przedstawić architekturę fizyczną sieci TMN i opisać jej komponenty,</w:t>
            </w:r>
          </w:p>
        </w:tc>
      </w:tr>
    </w:tbl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023872" w:rsidRDefault="00023872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</w:t>
      </w:r>
    </w:p>
    <w:p w:rsidR="00281568" w:rsidRPr="00816E4B" w:rsidRDefault="00E0249F" w:rsidP="00E0249F">
      <w:pPr>
        <w:pStyle w:val="Akapitzlist"/>
        <w:jc w:val="right"/>
        <w:rPr>
          <w:rFonts w:ascii="Arial" w:hAnsi="Arial" w:cs="Arial"/>
          <w:sz w:val="2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podpis nauczyciela prowadzącego zajęcia</w:t>
      </w:r>
    </w:p>
    <w:sectPr w:rsidR="00281568" w:rsidRPr="00816E4B" w:rsidSect="00816E4B">
      <w:footerReference w:type="default" r:id="rId8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D1" w:rsidRDefault="00D248D1" w:rsidP="002122BE">
      <w:pPr>
        <w:spacing w:after="0" w:line="240" w:lineRule="auto"/>
      </w:pPr>
      <w:r>
        <w:separator/>
      </w:r>
    </w:p>
  </w:endnote>
  <w:endnote w:type="continuationSeparator" w:id="1">
    <w:p w:rsidR="00D248D1" w:rsidRDefault="00D248D1" w:rsidP="002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26"/>
      <w:docPartObj>
        <w:docPartGallery w:val="Page Numbers (Bottom of Page)"/>
        <w:docPartUnique/>
      </w:docPartObj>
    </w:sdtPr>
    <w:sdtContent>
      <w:p w:rsidR="002122BE" w:rsidRDefault="00B152E0">
        <w:pPr>
          <w:pStyle w:val="Stopka"/>
          <w:jc w:val="right"/>
        </w:pPr>
        <w:fldSimple w:instr=" PAGE   \* MERGEFORMAT ">
          <w:r w:rsidR="00DC2E2B">
            <w:rPr>
              <w:noProof/>
            </w:rPr>
            <w:t>4</w:t>
          </w:r>
        </w:fldSimple>
      </w:p>
    </w:sdtContent>
  </w:sdt>
  <w:p w:rsidR="002122BE" w:rsidRDefault="00212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D1" w:rsidRDefault="00D248D1" w:rsidP="002122BE">
      <w:pPr>
        <w:spacing w:after="0" w:line="240" w:lineRule="auto"/>
      </w:pPr>
      <w:r>
        <w:separator/>
      </w:r>
    </w:p>
  </w:footnote>
  <w:footnote w:type="continuationSeparator" w:id="1">
    <w:p w:rsidR="00D248D1" w:rsidRDefault="00D248D1" w:rsidP="0021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F5"/>
    <w:multiLevelType w:val="hybridMultilevel"/>
    <w:tmpl w:val="E09EC6FC"/>
    <w:lvl w:ilvl="0" w:tplc="EADC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2E3"/>
    <w:multiLevelType w:val="hybridMultilevel"/>
    <w:tmpl w:val="D6B0B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4E498D"/>
    <w:multiLevelType w:val="hybridMultilevel"/>
    <w:tmpl w:val="B5D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4C67"/>
    <w:multiLevelType w:val="hybridMultilevel"/>
    <w:tmpl w:val="A8704FB0"/>
    <w:lvl w:ilvl="0" w:tplc="022A73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B428D"/>
    <w:multiLevelType w:val="hybridMultilevel"/>
    <w:tmpl w:val="BC024A6E"/>
    <w:lvl w:ilvl="0" w:tplc="E7343A4A">
      <w:start w:val="1"/>
      <w:numFmt w:val="bullet"/>
      <w:pStyle w:val="lewyteks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57B7D2E"/>
    <w:multiLevelType w:val="hybridMultilevel"/>
    <w:tmpl w:val="1FC66FC0"/>
    <w:lvl w:ilvl="0" w:tplc="07F2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50632"/>
    <w:multiLevelType w:val="hybridMultilevel"/>
    <w:tmpl w:val="C6EA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5431B"/>
    <w:multiLevelType w:val="hybridMultilevel"/>
    <w:tmpl w:val="2F82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93E88"/>
    <w:multiLevelType w:val="hybridMultilevel"/>
    <w:tmpl w:val="6EAE62DE"/>
    <w:lvl w:ilvl="0" w:tplc="8D881FE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88C"/>
    <w:rsid w:val="00002EF3"/>
    <w:rsid w:val="00010786"/>
    <w:rsid w:val="000207D0"/>
    <w:rsid w:val="00023872"/>
    <w:rsid w:val="00093A3C"/>
    <w:rsid w:val="000C36CA"/>
    <w:rsid w:val="000F131D"/>
    <w:rsid w:val="00162DE3"/>
    <w:rsid w:val="001760E0"/>
    <w:rsid w:val="001B5DB1"/>
    <w:rsid w:val="001F6BCC"/>
    <w:rsid w:val="002122BE"/>
    <w:rsid w:val="002232CE"/>
    <w:rsid w:val="00223E30"/>
    <w:rsid w:val="00240D93"/>
    <w:rsid w:val="00281568"/>
    <w:rsid w:val="00284C47"/>
    <w:rsid w:val="002C47F4"/>
    <w:rsid w:val="002E2193"/>
    <w:rsid w:val="00314BFC"/>
    <w:rsid w:val="0038291C"/>
    <w:rsid w:val="00391C50"/>
    <w:rsid w:val="003A4160"/>
    <w:rsid w:val="003A5FA4"/>
    <w:rsid w:val="003C42A3"/>
    <w:rsid w:val="003F7197"/>
    <w:rsid w:val="00425617"/>
    <w:rsid w:val="00447773"/>
    <w:rsid w:val="00450532"/>
    <w:rsid w:val="00475A05"/>
    <w:rsid w:val="004A4CE3"/>
    <w:rsid w:val="004A67C5"/>
    <w:rsid w:val="004D5CF7"/>
    <w:rsid w:val="00517B9D"/>
    <w:rsid w:val="00527DC3"/>
    <w:rsid w:val="005311C8"/>
    <w:rsid w:val="00535D59"/>
    <w:rsid w:val="0059343F"/>
    <w:rsid w:val="005F42B0"/>
    <w:rsid w:val="00646754"/>
    <w:rsid w:val="00665B62"/>
    <w:rsid w:val="006708A6"/>
    <w:rsid w:val="0068116D"/>
    <w:rsid w:val="00697A72"/>
    <w:rsid w:val="0072437F"/>
    <w:rsid w:val="0073391B"/>
    <w:rsid w:val="00742F9F"/>
    <w:rsid w:val="00764ABD"/>
    <w:rsid w:val="007756C4"/>
    <w:rsid w:val="00793974"/>
    <w:rsid w:val="007D6EC7"/>
    <w:rsid w:val="007E0FDB"/>
    <w:rsid w:val="00816E4B"/>
    <w:rsid w:val="0082319C"/>
    <w:rsid w:val="00860C70"/>
    <w:rsid w:val="00863915"/>
    <w:rsid w:val="008762E0"/>
    <w:rsid w:val="0089075A"/>
    <w:rsid w:val="00891D0B"/>
    <w:rsid w:val="008A207D"/>
    <w:rsid w:val="008D4E1A"/>
    <w:rsid w:val="0098388C"/>
    <w:rsid w:val="00997AF0"/>
    <w:rsid w:val="009C7579"/>
    <w:rsid w:val="00A1422E"/>
    <w:rsid w:val="00A20D5C"/>
    <w:rsid w:val="00A351ED"/>
    <w:rsid w:val="00A475E5"/>
    <w:rsid w:val="00A571D9"/>
    <w:rsid w:val="00AE7887"/>
    <w:rsid w:val="00AF20CD"/>
    <w:rsid w:val="00AF2F47"/>
    <w:rsid w:val="00B1046D"/>
    <w:rsid w:val="00B152E0"/>
    <w:rsid w:val="00B61295"/>
    <w:rsid w:val="00BB1594"/>
    <w:rsid w:val="00BD2BAC"/>
    <w:rsid w:val="00BD3383"/>
    <w:rsid w:val="00BD7635"/>
    <w:rsid w:val="00BF3891"/>
    <w:rsid w:val="00C2722D"/>
    <w:rsid w:val="00C7593B"/>
    <w:rsid w:val="00C75B2E"/>
    <w:rsid w:val="00CB33DC"/>
    <w:rsid w:val="00CB648E"/>
    <w:rsid w:val="00D06DA4"/>
    <w:rsid w:val="00D248D1"/>
    <w:rsid w:val="00D432BF"/>
    <w:rsid w:val="00D52A44"/>
    <w:rsid w:val="00D7390D"/>
    <w:rsid w:val="00D75427"/>
    <w:rsid w:val="00DC183E"/>
    <w:rsid w:val="00DC2E2B"/>
    <w:rsid w:val="00DF39AB"/>
    <w:rsid w:val="00E0249F"/>
    <w:rsid w:val="00E03CB2"/>
    <w:rsid w:val="00F14AB7"/>
    <w:rsid w:val="00F321FD"/>
    <w:rsid w:val="00F35002"/>
    <w:rsid w:val="00F60D65"/>
    <w:rsid w:val="00F85215"/>
    <w:rsid w:val="00FB257D"/>
    <w:rsid w:val="00FE049E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aliases w:val="Numerowanie,List Paragraph,Kolorowa lista — akcent 11,N w prog,Obiekt,normalny tekst,ORE MYŚLNIKI,Średnia siatka 1 — akcent 21,Jasna siatka — akcent 31,Colorful List Accent 1,Colorful List - Accent 11,Heding 2,a_Stand,numerowanie,Paragraf"/>
    <w:basedOn w:val="Normalny"/>
    <w:link w:val="AkapitzlistZnak"/>
    <w:uiPriority w:val="34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ORE MYŚLNIKI Znak,Średnia siatka 1 — akcent 21 Znak,Jasna siatka — akcent 31 Znak,Colorful List Accent 1 Znak"/>
    <w:link w:val="Akapitzlist"/>
    <w:uiPriority w:val="34"/>
    <w:qFormat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2BE"/>
  </w:style>
  <w:style w:type="paragraph" w:styleId="Stopka">
    <w:name w:val="footer"/>
    <w:basedOn w:val="Normalny"/>
    <w:link w:val="StopkaZnak"/>
    <w:uiPriority w:val="99"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BE"/>
  </w:style>
  <w:style w:type="character" w:customStyle="1" w:styleId="e24kjd">
    <w:name w:val="e24kjd"/>
    <w:basedOn w:val="Domylnaczcionkaakapitu"/>
    <w:rsid w:val="007D6EC7"/>
  </w:style>
  <w:style w:type="character" w:customStyle="1" w:styleId="st">
    <w:name w:val="st"/>
    <w:basedOn w:val="Domylnaczcionkaakapitu"/>
    <w:rsid w:val="007D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0B41-254A-44F0-BAF5-662A16EB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Stopka</dc:creator>
  <cp:lastModifiedBy>Andrzej Gołaszewski</cp:lastModifiedBy>
  <cp:revision>4</cp:revision>
  <cp:lastPrinted>2019-09-04T07:28:00Z</cp:lastPrinted>
  <dcterms:created xsi:type="dcterms:W3CDTF">2023-09-05T06:34:00Z</dcterms:created>
  <dcterms:modified xsi:type="dcterms:W3CDTF">2023-09-05T06:36:00Z</dcterms:modified>
</cp:coreProperties>
</file>